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iagrams/colors1.xml" ContentType="application/vnd.openxmlformats-officedocument.drawingml.diagramColors+xml"/>
  <Override PartName="/word/diagrams/colors10.xml" ContentType="application/vnd.openxmlformats-officedocument.drawingml.diagramColors+xml"/>
  <Override PartName="/word/diagrams/colors11.xml" ContentType="application/vnd.openxmlformats-officedocument.drawingml.diagramColors+xml"/>
  <Override PartName="/word/diagrams/colors12.xml" ContentType="application/vnd.openxmlformats-officedocument.drawingml.diagramColors+xml"/>
  <Override PartName="/word/diagrams/colors13.xml" ContentType="application/vnd.openxmlformats-officedocument.drawingml.diagramColors+xml"/>
  <Override PartName="/word/diagrams/colors14.xml" ContentType="application/vnd.openxmlformats-officedocument.drawingml.diagramColors+xml"/>
  <Override PartName="/word/diagrams/colors15.xml" ContentType="application/vnd.openxmlformats-officedocument.drawingml.diagramColors+xml"/>
  <Override PartName="/word/diagrams/colors16.xml" ContentType="application/vnd.openxmlformats-officedocument.drawingml.diagramColors+xml"/>
  <Override PartName="/word/diagrams/colors17.xml" ContentType="application/vnd.openxmlformats-officedocument.drawingml.diagramColors+xml"/>
  <Override PartName="/word/diagrams/colors18.xml" ContentType="application/vnd.openxmlformats-officedocument.drawingml.diagramColors+xml"/>
  <Override PartName="/word/diagrams/colors19.xml" ContentType="application/vnd.openxmlformats-officedocument.drawingml.diagramColors+xml"/>
  <Override PartName="/word/diagrams/colors2.xml" ContentType="application/vnd.openxmlformats-officedocument.drawingml.diagramColors+xml"/>
  <Override PartName="/word/diagrams/colors20.xml" ContentType="application/vnd.openxmlformats-officedocument.drawingml.diagramColors+xml"/>
  <Override PartName="/word/diagrams/colors21.xml" ContentType="application/vnd.openxmlformats-officedocument.drawingml.diagramColors+xml"/>
  <Override PartName="/word/diagrams/colors22.xml" ContentType="application/vnd.openxmlformats-officedocument.drawingml.diagramColors+xml"/>
  <Override PartName="/word/diagrams/colors23.xml" ContentType="application/vnd.openxmlformats-officedocument.drawingml.diagramColors+xml"/>
  <Override PartName="/word/diagrams/colors24.xml" ContentType="application/vnd.openxmlformats-officedocument.drawingml.diagramColors+xml"/>
  <Override PartName="/word/diagrams/colors25.xml" ContentType="application/vnd.openxmlformats-officedocument.drawingml.diagramColors+xml"/>
  <Override PartName="/word/diagrams/colors26.xml" ContentType="application/vnd.openxmlformats-officedocument.drawingml.diagramColors+xml"/>
  <Override PartName="/word/diagrams/colors27.xml" ContentType="application/vnd.openxmlformats-officedocument.drawingml.diagramColors+xml"/>
  <Override PartName="/word/diagrams/colors28.xml" ContentType="application/vnd.openxmlformats-officedocument.drawingml.diagramColors+xml"/>
  <Override PartName="/word/diagrams/colors29.xml" ContentType="application/vnd.openxmlformats-officedocument.drawingml.diagramColors+xml"/>
  <Override PartName="/word/diagrams/colors3.xml" ContentType="application/vnd.openxmlformats-officedocument.drawingml.diagramColors+xml"/>
  <Override PartName="/word/diagrams/colors30.xml" ContentType="application/vnd.openxmlformats-officedocument.drawingml.diagramColors+xml"/>
  <Override PartName="/word/diagrams/colors31.xml" ContentType="application/vnd.openxmlformats-officedocument.drawingml.diagramColors+xml"/>
  <Override PartName="/word/diagrams/colors32.xml" ContentType="application/vnd.openxmlformats-officedocument.drawingml.diagramColors+xml"/>
  <Override PartName="/word/diagrams/colors33.xml" ContentType="application/vnd.openxmlformats-officedocument.drawingml.diagramColors+xml"/>
  <Override PartName="/word/diagrams/colors34.xml" ContentType="application/vnd.openxmlformats-officedocument.drawingml.diagramColors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word/diagrams/colors8.xml" ContentType="application/vnd.openxmlformats-officedocument.drawingml.diagramColors+xml"/>
  <Override PartName="/word/diagrams/colors9.xml" ContentType="application/vnd.openxmlformats-officedocument.drawingml.diagramColors+xml"/>
  <Override PartName="/word/diagrams/data1.xml" ContentType="application/vnd.openxmlformats-officedocument.drawingml.diagramData+xml"/>
  <Override PartName="/word/diagrams/data10.xml" ContentType="application/vnd.openxmlformats-officedocument.drawingml.diagramData+xml"/>
  <Override PartName="/word/diagrams/data11.xml" ContentType="application/vnd.openxmlformats-officedocument.drawingml.diagramData+xml"/>
  <Override PartName="/word/diagrams/data12.xml" ContentType="application/vnd.openxmlformats-officedocument.drawingml.diagramData+xml"/>
  <Override PartName="/word/diagrams/data13.xml" ContentType="application/vnd.openxmlformats-officedocument.drawingml.diagramData+xml"/>
  <Override PartName="/word/diagrams/data14.xml" ContentType="application/vnd.openxmlformats-officedocument.drawingml.diagramData+xml"/>
  <Override PartName="/word/diagrams/data15.xml" ContentType="application/vnd.openxmlformats-officedocument.drawingml.diagramData+xml"/>
  <Override PartName="/word/diagrams/data16.xml" ContentType="application/vnd.openxmlformats-officedocument.drawingml.diagramData+xml"/>
  <Override PartName="/word/diagrams/data17.xml" ContentType="application/vnd.openxmlformats-officedocument.drawingml.diagramData+xml"/>
  <Override PartName="/word/diagrams/data18.xml" ContentType="application/vnd.openxmlformats-officedocument.drawingml.diagramData+xml"/>
  <Override PartName="/word/diagrams/data19.xml" ContentType="application/vnd.openxmlformats-officedocument.drawingml.diagramData+xml"/>
  <Override PartName="/word/diagrams/data2.xml" ContentType="application/vnd.openxmlformats-officedocument.drawingml.diagramData+xml"/>
  <Override PartName="/word/diagrams/data20.xml" ContentType="application/vnd.openxmlformats-officedocument.drawingml.diagramData+xml"/>
  <Override PartName="/word/diagrams/data21.xml" ContentType="application/vnd.openxmlformats-officedocument.drawingml.diagramData+xml"/>
  <Override PartName="/word/diagrams/data22.xml" ContentType="application/vnd.openxmlformats-officedocument.drawingml.diagramData+xml"/>
  <Override PartName="/word/diagrams/data23.xml" ContentType="application/vnd.openxmlformats-officedocument.drawingml.diagramData+xml"/>
  <Override PartName="/word/diagrams/data24.xml" ContentType="application/vnd.openxmlformats-officedocument.drawingml.diagramData+xml"/>
  <Override PartName="/word/diagrams/data25.xml" ContentType="application/vnd.openxmlformats-officedocument.drawingml.diagramData+xml"/>
  <Override PartName="/word/diagrams/data26.xml" ContentType="application/vnd.openxmlformats-officedocument.drawingml.diagramData+xml"/>
  <Override PartName="/word/diagrams/data27.xml" ContentType="application/vnd.openxmlformats-officedocument.drawingml.diagramData+xml"/>
  <Override PartName="/word/diagrams/data28.xml" ContentType="application/vnd.openxmlformats-officedocument.drawingml.diagramData+xml"/>
  <Override PartName="/word/diagrams/data29.xml" ContentType="application/vnd.openxmlformats-officedocument.drawingml.diagramData+xml"/>
  <Override PartName="/word/diagrams/data3.xml" ContentType="application/vnd.openxmlformats-officedocument.drawingml.diagramData+xml"/>
  <Override PartName="/word/diagrams/data30.xml" ContentType="application/vnd.openxmlformats-officedocument.drawingml.diagramData+xml"/>
  <Override PartName="/word/diagrams/data31.xml" ContentType="application/vnd.openxmlformats-officedocument.drawingml.diagramData+xml"/>
  <Override PartName="/word/diagrams/data32.xml" ContentType="application/vnd.openxmlformats-officedocument.drawingml.diagramData+xml"/>
  <Override PartName="/word/diagrams/data33.xml" ContentType="application/vnd.openxmlformats-officedocument.drawingml.diagramData+xml"/>
  <Override PartName="/word/diagrams/data34.xml" ContentType="application/vnd.openxmlformats-officedocument.drawingml.diagramData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data9.xml" ContentType="application/vnd.openxmlformats-officedocument.drawingml.diagramData+xml"/>
  <Override PartName="/word/diagrams/drawing1.xml" ContentType="application/vnd.ms-office.drawingml.diagramDrawing+xml"/>
  <Override PartName="/word/diagrams/drawing10.xml" ContentType="application/vnd.ms-office.drawingml.diagramDrawing+xml"/>
  <Override PartName="/word/diagrams/drawing11.xml" ContentType="application/vnd.ms-office.drawingml.diagramDrawing+xml"/>
  <Override PartName="/word/diagrams/drawing12.xml" ContentType="application/vnd.ms-office.drawingml.diagramDrawing+xml"/>
  <Override PartName="/word/diagrams/drawing13.xml" ContentType="application/vnd.ms-office.drawingml.diagramDrawing+xml"/>
  <Override PartName="/word/diagrams/drawing14.xml" ContentType="application/vnd.ms-office.drawingml.diagramDrawing+xml"/>
  <Override PartName="/word/diagrams/drawing15.xml" ContentType="application/vnd.ms-office.drawingml.diagramDrawing+xml"/>
  <Override PartName="/word/diagrams/drawing16.xml" ContentType="application/vnd.ms-office.drawingml.diagramDrawing+xml"/>
  <Override PartName="/word/diagrams/drawing17.xml" ContentType="application/vnd.ms-office.drawingml.diagramDrawing+xml"/>
  <Override PartName="/word/diagrams/drawing18.xml" ContentType="application/vnd.ms-office.drawingml.diagramDrawing+xml"/>
  <Override PartName="/word/diagrams/drawing19.xml" ContentType="application/vnd.ms-office.drawingml.diagramDrawing+xml"/>
  <Override PartName="/word/diagrams/drawing2.xml" ContentType="application/vnd.ms-office.drawingml.diagramDrawing+xml"/>
  <Override PartName="/word/diagrams/drawing20.xml" ContentType="application/vnd.ms-office.drawingml.diagramDrawing+xml"/>
  <Override PartName="/word/diagrams/drawing21.xml" ContentType="application/vnd.ms-office.drawingml.diagramDrawing+xml"/>
  <Override PartName="/word/diagrams/drawing22.xml" ContentType="application/vnd.ms-office.drawingml.diagramDrawing+xml"/>
  <Override PartName="/word/diagrams/drawing23.xml" ContentType="application/vnd.ms-office.drawingml.diagramDrawing+xml"/>
  <Override PartName="/word/diagrams/drawing24.xml" ContentType="application/vnd.ms-office.drawingml.diagramDrawing+xml"/>
  <Override PartName="/word/diagrams/drawing25.xml" ContentType="application/vnd.ms-office.drawingml.diagramDrawing+xml"/>
  <Override PartName="/word/diagrams/drawing26.xml" ContentType="application/vnd.ms-office.drawingml.diagramDrawing+xml"/>
  <Override PartName="/word/diagrams/drawing27.xml" ContentType="application/vnd.ms-office.drawingml.diagramDrawing+xml"/>
  <Override PartName="/word/diagrams/drawing28.xml" ContentType="application/vnd.ms-office.drawingml.diagramDrawing+xml"/>
  <Override PartName="/word/diagrams/drawing29.xml" ContentType="application/vnd.ms-office.drawingml.diagramDrawing+xml"/>
  <Override PartName="/word/diagrams/drawing3.xml" ContentType="application/vnd.ms-office.drawingml.diagramDrawing+xml"/>
  <Override PartName="/word/diagrams/drawing30.xml" ContentType="application/vnd.ms-office.drawingml.diagramDrawing+xml"/>
  <Override PartName="/word/diagrams/drawing31.xml" ContentType="application/vnd.ms-office.drawingml.diagramDrawing+xml"/>
  <Override PartName="/word/diagrams/drawing32.xml" ContentType="application/vnd.ms-office.drawingml.diagramDrawing+xml"/>
  <Override PartName="/word/diagrams/drawing33.xml" ContentType="application/vnd.ms-office.drawingml.diagramDrawing+xml"/>
  <Override PartName="/word/diagrams/drawing34.xml" ContentType="application/vnd.ms-office.drawingml.diagramDrawing+xml"/>
  <Override PartName="/word/diagrams/drawing4.xml" ContentType="application/vnd.ms-office.drawingml.diagramDrawing+xml"/>
  <Override PartName="/word/diagrams/drawing5.xml" ContentType="application/vnd.ms-office.drawingml.diagramDrawing+xml"/>
  <Override PartName="/word/diagrams/drawing6.xml" ContentType="application/vnd.ms-office.drawingml.diagramDrawing+xml"/>
  <Override PartName="/word/diagrams/drawing7.xml" ContentType="application/vnd.ms-office.drawingml.diagramDrawing+xml"/>
  <Override PartName="/word/diagrams/drawing8.xml" ContentType="application/vnd.ms-office.drawingml.diagramDrawing+xml"/>
  <Override PartName="/word/diagrams/drawing9.xml" ContentType="application/vnd.ms-office.drawingml.diagramDrawing+xml"/>
  <Override PartName="/word/diagrams/layout1.xml" ContentType="application/vnd.openxmlformats-officedocument.drawingml.diagramLayout+xml"/>
  <Override PartName="/word/diagrams/layout10.xml" ContentType="application/vnd.openxmlformats-officedocument.drawingml.diagramLayout+xml"/>
  <Override PartName="/word/diagrams/layout11.xml" ContentType="application/vnd.openxmlformats-officedocument.drawingml.diagramLayout+xml"/>
  <Override PartName="/word/diagrams/layout12.xml" ContentType="application/vnd.openxmlformats-officedocument.drawingml.diagramLayout+xml"/>
  <Override PartName="/word/diagrams/layout13.xml" ContentType="application/vnd.openxmlformats-officedocument.drawingml.diagramLayout+xml"/>
  <Override PartName="/word/diagrams/layout14.xml" ContentType="application/vnd.openxmlformats-officedocument.drawingml.diagramLayout+xml"/>
  <Override PartName="/word/diagrams/layout15.xml" ContentType="application/vnd.openxmlformats-officedocument.drawingml.diagramLayout+xml"/>
  <Override PartName="/word/diagrams/layout16.xml" ContentType="application/vnd.openxmlformats-officedocument.drawingml.diagramLayout+xml"/>
  <Override PartName="/word/diagrams/layout17.xml" ContentType="application/vnd.openxmlformats-officedocument.drawingml.diagramLayout+xml"/>
  <Override PartName="/word/diagrams/layout18.xml" ContentType="application/vnd.openxmlformats-officedocument.drawingml.diagramLayout+xml"/>
  <Override PartName="/word/diagrams/layout19.xml" ContentType="application/vnd.openxmlformats-officedocument.drawingml.diagramLayout+xml"/>
  <Override PartName="/word/diagrams/layout2.xml" ContentType="application/vnd.openxmlformats-officedocument.drawingml.diagramLayout+xml"/>
  <Override PartName="/word/diagrams/layout20.xml" ContentType="application/vnd.openxmlformats-officedocument.drawingml.diagramLayout+xml"/>
  <Override PartName="/word/diagrams/layout21.xml" ContentType="application/vnd.openxmlformats-officedocument.drawingml.diagramLayout+xml"/>
  <Override PartName="/word/diagrams/layout22.xml" ContentType="application/vnd.openxmlformats-officedocument.drawingml.diagramLayout+xml"/>
  <Override PartName="/word/diagrams/layout23.xml" ContentType="application/vnd.openxmlformats-officedocument.drawingml.diagramLayout+xml"/>
  <Override PartName="/word/diagrams/layout24.xml" ContentType="application/vnd.openxmlformats-officedocument.drawingml.diagramLayout+xml"/>
  <Override PartName="/word/diagrams/layout25.xml" ContentType="application/vnd.openxmlformats-officedocument.drawingml.diagramLayout+xml"/>
  <Override PartName="/word/diagrams/layout26.xml" ContentType="application/vnd.openxmlformats-officedocument.drawingml.diagramLayout+xml"/>
  <Override PartName="/word/diagrams/layout27.xml" ContentType="application/vnd.openxmlformats-officedocument.drawingml.diagramLayout+xml"/>
  <Override PartName="/word/diagrams/layout28.xml" ContentType="application/vnd.openxmlformats-officedocument.drawingml.diagramLayout+xml"/>
  <Override PartName="/word/diagrams/layout29.xml" ContentType="application/vnd.openxmlformats-officedocument.drawingml.diagramLayout+xml"/>
  <Override PartName="/word/diagrams/layout3.xml" ContentType="application/vnd.openxmlformats-officedocument.drawingml.diagramLayout+xml"/>
  <Override PartName="/word/diagrams/layout30.xml" ContentType="application/vnd.openxmlformats-officedocument.drawingml.diagramLayout+xml"/>
  <Override PartName="/word/diagrams/layout31.xml" ContentType="application/vnd.openxmlformats-officedocument.drawingml.diagramLayout+xml"/>
  <Override PartName="/word/diagrams/layout32.xml" ContentType="application/vnd.openxmlformats-officedocument.drawingml.diagramLayout+xml"/>
  <Override PartName="/word/diagrams/layout33.xml" ContentType="application/vnd.openxmlformats-officedocument.drawingml.diagramLayout+xml"/>
  <Override PartName="/word/diagrams/layout34.xml" ContentType="application/vnd.openxmlformats-officedocument.drawingml.diagramLayout+xml"/>
  <Override PartName="/word/diagrams/layout4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layout9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10.xml" ContentType="application/vnd.openxmlformats-officedocument.drawingml.diagramStyle+xml"/>
  <Override PartName="/word/diagrams/quickStyle11.xml" ContentType="application/vnd.openxmlformats-officedocument.drawingml.diagramStyle+xml"/>
  <Override PartName="/word/diagrams/quickStyle12.xml" ContentType="application/vnd.openxmlformats-officedocument.drawingml.diagramStyle+xml"/>
  <Override PartName="/word/diagrams/quickStyle13.xml" ContentType="application/vnd.openxmlformats-officedocument.drawingml.diagramStyle+xml"/>
  <Override PartName="/word/diagrams/quickStyle14.xml" ContentType="application/vnd.openxmlformats-officedocument.drawingml.diagramStyle+xml"/>
  <Override PartName="/word/diagrams/quickStyle15.xml" ContentType="application/vnd.openxmlformats-officedocument.drawingml.diagramStyle+xml"/>
  <Override PartName="/word/diagrams/quickStyle16.xml" ContentType="application/vnd.openxmlformats-officedocument.drawingml.diagramStyle+xml"/>
  <Override PartName="/word/diagrams/quickStyle17.xml" ContentType="application/vnd.openxmlformats-officedocument.drawingml.diagramStyle+xml"/>
  <Override PartName="/word/diagrams/quickStyle18.xml" ContentType="application/vnd.openxmlformats-officedocument.drawingml.diagramStyle+xml"/>
  <Override PartName="/word/diagrams/quickStyle19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20.xml" ContentType="application/vnd.openxmlformats-officedocument.drawingml.diagramStyle+xml"/>
  <Override PartName="/word/diagrams/quickStyle21.xml" ContentType="application/vnd.openxmlformats-officedocument.drawingml.diagramStyle+xml"/>
  <Override PartName="/word/diagrams/quickStyle22.xml" ContentType="application/vnd.openxmlformats-officedocument.drawingml.diagramStyle+xml"/>
  <Override PartName="/word/diagrams/quickStyle23.xml" ContentType="application/vnd.openxmlformats-officedocument.drawingml.diagramStyle+xml"/>
  <Override PartName="/word/diagrams/quickStyle24.xml" ContentType="application/vnd.openxmlformats-officedocument.drawingml.diagramStyle+xml"/>
  <Override PartName="/word/diagrams/quickStyle25.xml" ContentType="application/vnd.openxmlformats-officedocument.drawingml.diagramStyle+xml"/>
  <Override PartName="/word/diagrams/quickStyle26.xml" ContentType="application/vnd.openxmlformats-officedocument.drawingml.diagramStyle+xml"/>
  <Override PartName="/word/diagrams/quickStyle27.xml" ContentType="application/vnd.openxmlformats-officedocument.drawingml.diagramStyle+xml"/>
  <Override PartName="/word/diagrams/quickStyle28.xml" ContentType="application/vnd.openxmlformats-officedocument.drawingml.diagramStyle+xml"/>
  <Override PartName="/word/diagrams/quickStyle29.xml" ContentType="application/vnd.openxmlformats-officedocument.drawingml.diagramStyle+xml"/>
  <Override PartName="/word/diagrams/quickStyle3.xml" ContentType="application/vnd.openxmlformats-officedocument.drawingml.diagramStyle+xml"/>
  <Override PartName="/word/diagrams/quickStyle30.xml" ContentType="application/vnd.openxmlformats-officedocument.drawingml.diagramStyle+xml"/>
  <Override PartName="/word/diagrams/quickStyle31.xml" ContentType="application/vnd.openxmlformats-officedocument.drawingml.diagramStyle+xml"/>
  <Override PartName="/word/diagrams/quickStyle32.xml" ContentType="application/vnd.openxmlformats-officedocument.drawingml.diagramStyle+xml"/>
  <Override PartName="/word/diagrams/quickStyle33.xml" ContentType="application/vnd.openxmlformats-officedocument.drawingml.diagramStyle+xml"/>
  <Override PartName="/word/diagrams/quickStyle34.xml" ContentType="application/vnd.openxmlformats-officedocument.drawingml.diagramStyle+xml"/>
  <Override PartName="/word/diagrams/quickStyle4.xml" ContentType="application/vnd.openxmlformats-officedocument.drawingml.diagramStyle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quickStyle9.xml" ContentType="application/vnd.openxmlformats-officedocument.drawingml.diagramStyle+xml"/>
  <Override PartName="/word/document.xml" ContentType="application/vnd.openxmlformats-officedocument.wordprocessingml.document.main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  <Override PartName="/word/theme/themeOverride10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Override PartName="/word/theme/themeOverride13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theme/themeOverride8.xml" ContentType="application/vnd.openxmlformats-officedocument.themeOverride+xml"/>
  <Override PartName="/word/theme/themeOverride9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0"/>
        </w:tabs>
        <w:jc w:val="center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114300</wp:posOffset>
            </wp:positionV>
            <wp:extent cx="914400" cy="1143000"/>
            <wp:effectExtent l="0" t="0" r="0" b="0"/>
            <wp:wrapNone/>
            <wp:docPr id="222" name="Рисунок 981" descr="Герб ГУ ма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Рисунок 981" descr="Герб ГУ мак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tabs>
          <w:tab w:val="left" w:pos="0"/>
        </w:tabs>
        <w:jc w:val="center"/>
        <w:rPr>
          <w:color w:val="FF0000"/>
          <w:sz w:val="26"/>
          <w:szCs w:val="26"/>
        </w:rPr>
      </w:pPr>
    </w:p>
    <w:p>
      <w:pPr>
        <w:pStyle w:val="2"/>
        <w:tabs>
          <w:tab w:val="left" w:pos="0"/>
        </w:tabs>
        <w:ind w:left="720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>
      <w:pPr>
        <w:tabs>
          <w:tab w:val="left" w:pos="0"/>
        </w:tabs>
        <w:rPr>
          <w:color w:val="FF0000"/>
          <w:sz w:val="26"/>
          <w:szCs w:val="26"/>
        </w:rPr>
      </w:pPr>
    </w:p>
    <w:p>
      <w:pPr>
        <w:tabs>
          <w:tab w:val="left" w:pos="0"/>
        </w:tabs>
        <w:jc w:val="center"/>
        <w:rPr>
          <w:color w:val="0000FF"/>
          <w:sz w:val="26"/>
          <w:szCs w:val="26"/>
        </w:rPr>
      </w:pPr>
    </w:p>
    <w:p>
      <w:pPr>
        <w:tabs>
          <w:tab w:val="left" w:pos="0"/>
        </w:tabs>
        <w:jc w:val="center"/>
        <w:rPr>
          <w:color w:val="0000FF"/>
          <w:sz w:val="26"/>
          <w:szCs w:val="26"/>
        </w:rPr>
      </w:pPr>
    </w:p>
    <w:p>
      <w:pPr>
        <w:tabs>
          <w:tab w:val="left" w:pos="0"/>
        </w:tabs>
        <w:jc w:val="center"/>
        <w:rPr>
          <w:color w:val="0000FF"/>
          <w:sz w:val="26"/>
          <w:szCs w:val="26"/>
        </w:rPr>
      </w:pPr>
    </w:p>
    <w:p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ГЛАВНОЕ УПРАВЛЕНИЕ </w:t>
      </w:r>
    </w:p>
    <w:p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МИНИСТЕРСТВА РОССИЙСКОЙ ФЕДЕРАЦИИ ПО ДЕЛАМ ГРАЖДАНСКОЙ ОБОРОНЫ, ЧРЕЗВЫЧАЙНЫМ СИТУАЦИЯМ </w:t>
      </w:r>
    </w:p>
    <w:p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 ЛИКВИДАЦИИ ПОСЛЕДСТВИЙ СТИХИЙНЫХ БЕДСТВИЙ  </w:t>
      </w:r>
    </w:p>
    <w:p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 ХАНТЫ-МАНСИЙСКОМУ АВТОНОМНОМУ ОКРУГУ – ЮГРЕ</w:t>
      </w:r>
    </w:p>
    <w:p>
      <w:pPr>
        <w:tabs>
          <w:tab w:val="left" w:pos="0"/>
        </w:tabs>
        <w:jc w:val="center"/>
        <w:rPr>
          <w:sz w:val="28"/>
          <w:szCs w:val="28"/>
        </w:rPr>
      </w:pPr>
    </w:p>
    <w:p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УПРАВЛЕНИЕ НАДЗОРНОЙ ДЕЯТЕЛЬНОСТИ</w:t>
      </w:r>
    </w:p>
    <w:p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И ПРОФИЛАКТИЧЕСКОЙ РАБОТЫ</w:t>
      </w:r>
    </w:p>
    <w:p>
      <w:pPr>
        <w:tabs>
          <w:tab w:val="left" w:pos="0"/>
        </w:tabs>
        <w:jc w:val="center"/>
        <w:rPr>
          <w:color w:val="FF0000"/>
          <w:sz w:val="26"/>
          <w:szCs w:val="26"/>
        </w:rPr>
      </w:pPr>
    </w:p>
    <w:p>
      <w:pPr>
        <w:tabs>
          <w:tab w:val="left" w:pos="0"/>
        </w:tabs>
        <w:jc w:val="center"/>
        <w:rPr>
          <w:b/>
          <w:bCs/>
          <w:iCs/>
          <w:color w:val="FF0000"/>
          <w:sz w:val="26"/>
          <w:szCs w:val="26"/>
        </w:rPr>
      </w:pPr>
    </w:p>
    <w:p>
      <w:pPr>
        <w:tabs>
          <w:tab w:val="left" w:pos="0"/>
        </w:tabs>
        <w:jc w:val="center"/>
        <w:rPr>
          <w:b/>
          <w:bCs/>
          <w:iCs/>
          <w:color w:val="FF0000"/>
          <w:sz w:val="26"/>
          <w:szCs w:val="26"/>
        </w:rPr>
      </w:pPr>
      <w:r>
        <w:rPr>
          <w:b/>
          <w:bCs/>
          <w:iCs/>
          <w:color w:val="FF0000"/>
          <w:sz w:val="26"/>
          <w:szCs w:val="26"/>
        </w:rPr>
        <w:drawing>
          <wp:inline distT="0" distB="0" distL="0" distR="0">
            <wp:extent cx="878840" cy="1244600"/>
            <wp:effectExtent l="0" t="0" r="0" b="0"/>
            <wp:docPr id="52" name="Рисунок 52" descr="C:\Users\Игорь\Documents\ОНД по Сургутскому району\СТЕНД\жетон надзора[1]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C:\Users\Игорь\Documents\ОНД по Сургутскому району\СТЕНД\жетон надзора[1] копия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155" cy="12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jc w:val="center"/>
        <w:rPr>
          <w:b/>
          <w:bCs/>
          <w:iCs/>
          <w:color w:val="FF0000"/>
          <w:sz w:val="26"/>
          <w:szCs w:val="26"/>
        </w:rPr>
      </w:pPr>
    </w:p>
    <w:p>
      <w:pPr>
        <w:tabs>
          <w:tab w:val="left" w:pos="0"/>
        </w:tabs>
        <w:jc w:val="center"/>
        <w:rPr>
          <w:b/>
          <w:bCs/>
          <w:iCs/>
          <w:color w:val="FF0000"/>
          <w:sz w:val="26"/>
          <w:szCs w:val="26"/>
        </w:rPr>
      </w:pPr>
    </w:p>
    <w:p>
      <w:pPr>
        <w:tabs>
          <w:tab w:val="left" w:pos="0"/>
        </w:tabs>
        <w:jc w:val="center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Анализ пожаров и последствий от них,</w:t>
      </w:r>
    </w:p>
    <w:p>
      <w:pPr>
        <w:tabs>
          <w:tab w:val="left" w:pos="0"/>
        </w:tabs>
        <w:jc w:val="center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произошедших на территории Ханты-Мансийского района</w:t>
      </w:r>
    </w:p>
    <w:p>
      <w:pPr>
        <w:tabs>
          <w:tab w:val="left" w:pos="0"/>
        </w:tabs>
        <w:jc w:val="center"/>
        <w:rPr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за январь, февраль 2021 года</w:t>
      </w:r>
    </w:p>
    <w:p>
      <w:pPr>
        <w:tabs>
          <w:tab w:val="left" w:pos="0"/>
        </w:tabs>
        <w:jc w:val="center"/>
        <w:rPr>
          <w:iCs/>
          <w:sz w:val="32"/>
          <w:szCs w:val="32"/>
        </w:rPr>
      </w:pPr>
    </w:p>
    <w:p>
      <w:pPr>
        <w:tabs>
          <w:tab w:val="left" w:pos="0"/>
        </w:tabs>
        <w:jc w:val="center"/>
        <w:rPr>
          <w:sz w:val="32"/>
          <w:szCs w:val="32"/>
        </w:rPr>
      </w:pPr>
    </w:p>
    <w:p>
      <w:pPr>
        <w:tabs>
          <w:tab w:val="left" w:pos="0"/>
        </w:tabs>
        <w:jc w:val="center"/>
        <w:rPr>
          <w:sz w:val="32"/>
          <w:szCs w:val="32"/>
        </w:rPr>
      </w:pPr>
    </w:p>
    <w:p>
      <w:pPr>
        <w:tabs>
          <w:tab w:val="left" w:pos="0"/>
        </w:tabs>
        <w:jc w:val="center"/>
        <w:rPr>
          <w:sz w:val="32"/>
          <w:szCs w:val="32"/>
        </w:rPr>
      </w:pPr>
    </w:p>
    <w:p>
      <w:pPr>
        <w:tabs>
          <w:tab w:val="left" w:pos="0"/>
        </w:tabs>
        <w:jc w:val="center"/>
        <w:rPr>
          <w:sz w:val="32"/>
          <w:szCs w:val="32"/>
        </w:rPr>
      </w:pPr>
    </w:p>
    <w:p>
      <w:pPr>
        <w:tabs>
          <w:tab w:val="left" w:pos="0"/>
        </w:tabs>
        <w:jc w:val="center"/>
        <w:rPr>
          <w:sz w:val="32"/>
          <w:szCs w:val="32"/>
        </w:rPr>
      </w:pPr>
    </w:p>
    <w:p>
      <w:pPr>
        <w:tabs>
          <w:tab w:val="left" w:pos="0"/>
        </w:tabs>
        <w:jc w:val="center"/>
        <w:rPr>
          <w:b/>
          <w:bCs/>
          <w:sz w:val="32"/>
          <w:szCs w:val="32"/>
        </w:rPr>
      </w:pPr>
    </w:p>
    <w:p>
      <w:pPr>
        <w:tabs>
          <w:tab w:val="left" w:pos="0"/>
        </w:tabs>
        <w:jc w:val="center"/>
        <w:rPr>
          <w:b/>
          <w:bCs/>
          <w:sz w:val="32"/>
          <w:szCs w:val="32"/>
        </w:rPr>
      </w:pPr>
    </w:p>
    <w:p>
      <w:pPr>
        <w:tabs>
          <w:tab w:val="left" w:pos="0"/>
        </w:tabs>
        <w:jc w:val="center"/>
        <w:rPr>
          <w:b/>
          <w:bCs/>
          <w:sz w:val="32"/>
          <w:szCs w:val="32"/>
        </w:rPr>
      </w:pPr>
    </w:p>
    <w:p>
      <w:pPr>
        <w:tabs>
          <w:tab w:val="left" w:pos="0"/>
        </w:tabs>
        <w:jc w:val="center"/>
        <w:rPr>
          <w:b/>
          <w:bCs/>
          <w:sz w:val="32"/>
          <w:szCs w:val="32"/>
        </w:rPr>
      </w:pPr>
    </w:p>
    <w:p>
      <w:pPr>
        <w:tabs>
          <w:tab w:val="left" w:pos="0"/>
        </w:tabs>
        <w:jc w:val="center"/>
        <w:rPr>
          <w:b/>
          <w:bCs/>
          <w:sz w:val="32"/>
          <w:szCs w:val="32"/>
        </w:rPr>
      </w:pPr>
    </w:p>
    <w:p>
      <w:pPr>
        <w:tabs>
          <w:tab w:val="left" w:pos="0"/>
        </w:tabs>
        <w:jc w:val="center"/>
        <w:rPr>
          <w:b/>
          <w:bCs/>
          <w:sz w:val="32"/>
          <w:szCs w:val="32"/>
        </w:rPr>
      </w:pPr>
    </w:p>
    <w:p>
      <w:pPr>
        <w:tabs>
          <w:tab w:val="left" w:pos="0"/>
        </w:tabs>
        <w:jc w:val="center"/>
        <w:rPr>
          <w:b/>
          <w:bCs/>
          <w:sz w:val="32"/>
          <w:szCs w:val="32"/>
        </w:rPr>
      </w:pPr>
    </w:p>
    <w:p>
      <w:pPr>
        <w:tabs>
          <w:tab w:val="left" w:pos="0"/>
        </w:tabs>
        <w:jc w:val="center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г. Ханты-Мансийск</w:t>
      </w:r>
    </w:p>
    <w:p>
      <w:pPr>
        <w:tabs>
          <w:tab w:val="left" w:pos="0"/>
        </w:tabs>
        <w:jc w:val="center"/>
        <w:rPr>
          <w:iCs/>
          <w:color w:val="0000FF"/>
          <w:sz w:val="26"/>
          <w:szCs w:val="26"/>
        </w:rPr>
      </w:pPr>
      <w:r>
        <w:rPr>
          <w:b/>
          <w:bCs/>
          <w:iCs/>
          <w:color w:val="0000FF"/>
          <w:sz w:val="26"/>
          <w:szCs w:val="26"/>
        </w:rPr>
        <w:br w:type="page"/>
      </w:r>
    </w:p>
    <w:p>
      <w:pPr>
        <w:tabs>
          <w:tab w:val="left" w:pos="142"/>
        </w:tabs>
        <w:ind w:firstLine="709"/>
        <w:jc w:val="both"/>
        <w:rPr>
          <w:b/>
          <w:iCs/>
          <w:color w:val="000000" w:themeColor="text1"/>
          <w:sz w:val="26"/>
          <w:szCs w:val="26"/>
        </w:rPr>
      </w:pPr>
      <w:r>
        <w:rPr>
          <w:b/>
          <w:iCs/>
          <w:color w:val="000000" w:themeColor="text1"/>
          <w:sz w:val="26"/>
          <w:szCs w:val="26"/>
        </w:rPr>
        <w:t>Анализ пожаров, произошедших на территории Ханты-Мансийского района</w:t>
      </w:r>
    </w:p>
    <w:p>
      <w:pPr>
        <w:ind w:right="-55" w:firstLine="708"/>
        <w:jc w:val="center"/>
        <w:rPr>
          <w:b/>
          <w:sz w:val="26"/>
          <w:szCs w:val="26"/>
        </w:rPr>
      </w:pP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 январь, февраль 2021 года оперативная обстановка с пожарами                                    в Ханты-Мансийском районе характеризовалась следующими основными показателями: </w:t>
      </w: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зарегистрировано 22 пожара (АППГ – 6; </w:t>
      </w:r>
      <w:r>
        <w:rPr>
          <w:b/>
          <w:sz w:val="26"/>
          <w:szCs w:val="26"/>
        </w:rPr>
        <w:t>увеличение в 3,6 раза</w:t>
      </w:r>
      <w:r>
        <w:rPr>
          <w:sz w:val="26"/>
          <w:szCs w:val="26"/>
        </w:rPr>
        <w:t xml:space="preserve">); </w:t>
      </w: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гибель людей не допущена (АППГ – 0 чел.; 0%);</w:t>
      </w: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травмирован 1 человек (АППГ – 0 чел.; +</w:t>
      </w:r>
      <w:r>
        <w:rPr>
          <w:b/>
          <w:sz w:val="26"/>
          <w:szCs w:val="26"/>
        </w:rPr>
        <w:t>100%</w:t>
      </w:r>
      <w:r>
        <w:rPr>
          <w:sz w:val="26"/>
          <w:szCs w:val="26"/>
        </w:rPr>
        <w:t>);</w:t>
      </w: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материальный ущерб от пожаров составил 4 991 423 (АППГ –  0 руб.; </w:t>
      </w:r>
      <w:r>
        <w:rPr>
          <w:b/>
          <w:sz w:val="26"/>
          <w:szCs w:val="26"/>
        </w:rPr>
        <w:t>+100%</w:t>
      </w:r>
      <w:r>
        <w:rPr>
          <w:sz w:val="26"/>
          <w:szCs w:val="26"/>
        </w:rPr>
        <w:t>);</w:t>
      </w: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Из общего числа пожаров за январь, февраль 2021 года, 8 пожаров зарегистрировано на объектах жилого сектора (АППГ – 4; </w:t>
      </w:r>
      <w:r>
        <w:rPr>
          <w:b/>
          <w:sz w:val="26"/>
          <w:szCs w:val="26"/>
        </w:rPr>
        <w:t>увеличение в 2 раза</w:t>
      </w:r>
      <w:r>
        <w:rPr>
          <w:sz w:val="26"/>
          <w:szCs w:val="26"/>
        </w:rPr>
        <w:t>).</w:t>
      </w:r>
    </w:p>
    <w:p>
      <w:pPr>
        <w:jc w:val="both"/>
        <w:rPr>
          <w:sz w:val="26"/>
          <w:szCs w:val="26"/>
        </w:rPr>
      </w:pPr>
    </w:p>
    <w:p>
      <w:pPr>
        <w:ind w:firstLine="708"/>
        <w:jc w:val="both"/>
        <w:rPr>
          <w:b/>
          <w:iCs/>
        </w:rPr>
      </w:pPr>
      <w:r>
        <w:rPr>
          <w:b/>
          <w:bCs/>
          <w:iCs/>
        </w:rPr>
        <w:t xml:space="preserve">Диаграмма 1: </w:t>
      </w:r>
      <w:r>
        <w:rPr>
          <w:b/>
          <w:iCs/>
        </w:rPr>
        <w:t>Количество пожаров и последствия от их, произошедших на территории Ханты-Мансийского района</w:t>
      </w:r>
    </w:p>
    <w:p>
      <w:pPr>
        <w:ind w:left="426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1219835</wp:posOffset>
            </wp:positionV>
            <wp:extent cx="865505" cy="288290"/>
            <wp:effectExtent l="19050" t="0" r="0" b="16329"/>
            <wp:wrapNone/>
            <wp:docPr id="22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1099185</wp:posOffset>
            </wp:positionV>
            <wp:extent cx="1425575" cy="313690"/>
            <wp:effectExtent l="19050" t="0" r="0" b="0"/>
            <wp:wrapNone/>
            <wp:docPr id="8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1536065</wp:posOffset>
            </wp:positionV>
            <wp:extent cx="1095375" cy="319405"/>
            <wp:effectExtent l="0" t="0" r="0" b="4445"/>
            <wp:wrapNone/>
            <wp:docPr id="14" name="Схема 3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1903095</wp:posOffset>
            </wp:positionH>
            <wp:positionV relativeFrom="paragraph">
              <wp:posOffset>1543685</wp:posOffset>
            </wp:positionV>
            <wp:extent cx="1166495" cy="313690"/>
            <wp:effectExtent l="19050" t="0" r="0" b="0"/>
            <wp:wrapNone/>
            <wp:docPr id="13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671195</wp:posOffset>
            </wp:positionV>
            <wp:extent cx="1425575" cy="313690"/>
            <wp:effectExtent l="0" t="0" r="0" b="0"/>
            <wp:wrapNone/>
            <wp:docPr id="12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anchor>
        </w:drawing>
      </w:r>
      <w:r>
        <w:rPr>
          <w:color w:val="FF0000"/>
          <w:sz w:val="26"/>
          <w:szCs w:val="26"/>
        </w:rPr>
        <w:drawing>
          <wp:inline distT="0" distB="0" distL="0" distR="0">
            <wp:extent cx="5328920" cy="2572385"/>
            <wp:effectExtent l="19050" t="0" r="23599" b="0"/>
            <wp:docPr id="17" name="Диаграмма 3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>
      <w:pPr>
        <w:jc w:val="both"/>
        <w:rPr>
          <w:sz w:val="26"/>
          <w:szCs w:val="26"/>
        </w:rPr>
      </w:pPr>
    </w:p>
    <w:p>
      <w:pPr>
        <w:keepNext/>
        <w:autoSpaceDE w:val="0"/>
        <w:autoSpaceDN w:val="0"/>
        <w:jc w:val="center"/>
        <w:outlineLvl w:val="1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Общая оценка оперативной обстановки происшедших пожаров </w:t>
      </w:r>
    </w:p>
    <w:p>
      <w:pPr>
        <w:keepNext/>
        <w:autoSpaceDE w:val="0"/>
        <w:autoSpaceDN w:val="0"/>
        <w:jc w:val="center"/>
        <w:outlineLvl w:val="1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 Ханты-Мансийском районе </w:t>
      </w:r>
    </w:p>
    <w:p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Таблица1 </w:t>
      </w:r>
    </w:p>
    <w:tbl>
      <w:tblPr>
        <w:tblStyle w:val="7"/>
        <w:tblW w:w="4343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21"/>
        <w:gridCol w:w="1522"/>
        <w:gridCol w:w="1583"/>
        <w:gridCol w:w="1681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3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Показатели оперативной обстановки</w:t>
            </w:r>
          </w:p>
        </w:tc>
        <w:tc>
          <w:tcPr>
            <w:tcW w:w="86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2020 год</w:t>
            </w:r>
          </w:p>
        </w:tc>
        <w:tc>
          <w:tcPr>
            <w:tcW w:w="89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2021 год</w:t>
            </w:r>
          </w:p>
        </w:tc>
        <w:tc>
          <w:tcPr>
            <w:tcW w:w="95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%</w:t>
            </w:r>
          </w:p>
          <w:p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отношение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3" w:type="pct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keepNext/>
              <w:autoSpaceDE w:val="0"/>
              <w:autoSpaceDN w:val="0"/>
              <w:outlineLvl w:val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пожаров</w:t>
            </w:r>
          </w:p>
        </w:tc>
        <w:tc>
          <w:tcPr>
            <w:tcW w:w="864" w:type="pct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6</w:t>
            </w:r>
          </w:p>
        </w:tc>
        <w:tc>
          <w:tcPr>
            <w:tcW w:w="899" w:type="pct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22</w:t>
            </w:r>
          </w:p>
        </w:tc>
        <w:tc>
          <w:tcPr>
            <w:tcW w:w="954" w:type="pct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bottom"/>
          </w:tcPr>
          <w:p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+в 3,6 раза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крупных пожаров</w:t>
            </w:r>
          </w:p>
        </w:tc>
        <w:tc>
          <w:tcPr>
            <w:tcW w:w="86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-</w:t>
            </w:r>
          </w:p>
        </w:tc>
        <w:tc>
          <w:tcPr>
            <w:tcW w:w="899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-</w:t>
            </w:r>
          </w:p>
        </w:tc>
        <w:tc>
          <w:tcPr>
            <w:tcW w:w="95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Ущерб от крупных пожаров</w:t>
            </w:r>
          </w:p>
        </w:tc>
        <w:tc>
          <w:tcPr>
            <w:tcW w:w="86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-</w:t>
            </w:r>
          </w:p>
        </w:tc>
        <w:tc>
          <w:tcPr>
            <w:tcW w:w="899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-</w:t>
            </w:r>
          </w:p>
        </w:tc>
        <w:tc>
          <w:tcPr>
            <w:tcW w:w="95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rPr>
          <w:jc w:val="center"/>
        </w:trPr>
        <w:tc>
          <w:tcPr>
            <w:tcW w:w="228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Количество пожаров с гибелью людей</w:t>
            </w:r>
          </w:p>
        </w:tc>
        <w:tc>
          <w:tcPr>
            <w:tcW w:w="86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899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5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Гибель людей (всего)</w:t>
            </w:r>
          </w:p>
        </w:tc>
        <w:tc>
          <w:tcPr>
            <w:tcW w:w="86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bottom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899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bottom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5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bottom"/>
          </w:tcPr>
          <w:p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Из них детей</w:t>
            </w:r>
          </w:p>
        </w:tc>
        <w:tc>
          <w:tcPr>
            <w:tcW w:w="86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-</w:t>
            </w:r>
          </w:p>
        </w:tc>
        <w:tc>
          <w:tcPr>
            <w:tcW w:w="899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-</w:t>
            </w:r>
          </w:p>
        </w:tc>
        <w:tc>
          <w:tcPr>
            <w:tcW w:w="95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Прямой материальный ущерб (руб.)</w:t>
            </w:r>
          </w:p>
        </w:tc>
        <w:tc>
          <w:tcPr>
            <w:tcW w:w="86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99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4 991 423</w:t>
            </w:r>
          </w:p>
        </w:tc>
        <w:tc>
          <w:tcPr>
            <w:tcW w:w="95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>+100%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Травмировано людей</w:t>
            </w:r>
          </w:p>
        </w:tc>
        <w:tc>
          <w:tcPr>
            <w:tcW w:w="86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bottom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99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bottom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5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bottom"/>
          </w:tcPr>
          <w:p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+100%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Спасено людей</w:t>
            </w:r>
          </w:p>
        </w:tc>
        <w:tc>
          <w:tcPr>
            <w:tcW w:w="86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bottom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899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bottom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5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bottom"/>
          </w:tcPr>
          <w:p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Пожары в жилом секторе</w:t>
            </w:r>
          </w:p>
        </w:tc>
        <w:tc>
          <w:tcPr>
            <w:tcW w:w="86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bottom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899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bottom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5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bottom"/>
          </w:tcPr>
          <w:p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+в 2 раза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Спасено материальных ценностей (руб.)</w:t>
            </w:r>
          </w:p>
        </w:tc>
        <w:tc>
          <w:tcPr>
            <w:tcW w:w="86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1 500 000</w:t>
            </w:r>
          </w:p>
        </w:tc>
        <w:tc>
          <w:tcPr>
            <w:tcW w:w="899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2 500 000</w:t>
            </w:r>
          </w:p>
        </w:tc>
        <w:tc>
          <w:tcPr>
            <w:tcW w:w="95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+66,7%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Уничтожено строений</w:t>
            </w:r>
          </w:p>
        </w:tc>
        <w:tc>
          <w:tcPr>
            <w:tcW w:w="86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bottom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99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bottom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95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bottom"/>
          </w:tcPr>
          <w:p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+в 2 раза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Повреждено строений</w:t>
            </w:r>
          </w:p>
        </w:tc>
        <w:tc>
          <w:tcPr>
            <w:tcW w:w="86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bottom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899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bottom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95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bottom"/>
          </w:tcPr>
          <w:p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+в 32,5 раза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Уничтожено техники</w:t>
            </w:r>
          </w:p>
        </w:tc>
        <w:tc>
          <w:tcPr>
            <w:tcW w:w="86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bottom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899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bottom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54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bottom"/>
          </w:tcPr>
          <w:p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+100%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3" w:type="pct"/>
            <w:tcBorders>
              <w:top w:val="single" w:color="auto" w:sz="6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Повреждено техники</w:t>
            </w:r>
          </w:p>
        </w:tc>
        <w:tc>
          <w:tcPr>
            <w:tcW w:w="864" w:type="pct"/>
            <w:tcBorders>
              <w:top w:val="single" w:color="auto" w:sz="6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99" w:type="pct"/>
            <w:tcBorders>
              <w:top w:val="single" w:color="auto" w:sz="6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bottom"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54" w:type="pct"/>
            <w:tcBorders>
              <w:top w:val="single" w:color="auto" w:sz="6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+в 8 раз</w:t>
            </w:r>
          </w:p>
        </w:tc>
      </w:tr>
    </w:tbl>
    <w:p>
      <w:pPr>
        <w:rPr>
          <w:b/>
          <w:bCs/>
          <w:sz w:val="26"/>
          <w:szCs w:val="26"/>
        </w:rPr>
      </w:pPr>
    </w:p>
    <w:p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Распределение количества пожаров по объектам</w:t>
      </w:r>
    </w:p>
    <w:p>
      <w:pPr>
        <w:jc w:val="right"/>
        <w:rPr>
          <w:sz w:val="26"/>
          <w:szCs w:val="26"/>
        </w:rPr>
      </w:pPr>
      <w:r>
        <w:rPr>
          <w:sz w:val="26"/>
          <w:szCs w:val="26"/>
        </w:rPr>
        <w:t>Таблица 2</w:t>
      </w:r>
    </w:p>
    <w:tbl>
      <w:tblPr>
        <w:tblStyle w:val="7"/>
        <w:tblW w:w="5000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8"/>
        <w:gridCol w:w="734"/>
        <w:gridCol w:w="740"/>
        <w:gridCol w:w="1119"/>
        <w:gridCol w:w="736"/>
        <w:gridCol w:w="732"/>
        <w:gridCol w:w="1048"/>
        <w:gridCol w:w="706"/>
        <w:gridCol w:w="698"/>
        <w:gridCol w:w="103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276" w:type="pct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Объекты пожаров </w:t>
            </w:r>
          </w:p>
        </w:tc>
        <w:tc>
          <w:tcPr>
            <w:tcW w:w="727" w:type="pct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Количество пожаров </w:t>
            </w:r>
          </w:p>
        </w:tc>
        <w:tc>
          <w:tcPr>
            <w:tcW w:w="552" w:type="pct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724" w:type="pct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Гибель </w:t>
            </w:r>
          </w:p>
        </w:tc>
        <w:tc>
          <w:tcPr>
            <w:tcW w:w="517" w:type="pct"/>
            <w:vMerge w:val="restart"/>
            <w:tcBorders>
              <w:top w:val="double" w:color="auto" w:sz="4" w:space="0"/>
              <w:left w:val="double" w:color="auto" w:sz="4" w:space="0"/>
              <w:bottom w:val="nil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692" w:type="pct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Травмы </w:t>
            </w:r>
          </w:p>
        </w:tc>
        <w:tc>
          <w:tcPr>
            <w:tcW w:w="512" w:type="pct"/>
            <w:vMerge w:val="restart"/>
            <w:tcBorders>
              <w:top w:val="double" w:color="auto" w:sz="4" w:space="0"/>
              <w:left w:val="double" w:color="auto" w:sz="4" w:space="0"/>
              <w:bottom w:val="nil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276" w:type="pct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</w:pPr>
          </w:p>
        </w:tc>
        <w:tc>
          <w:tcPr>
            <w:tcW w:w="362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2020 </w:t>
            </w:r>
          </w:p>
        </w:tc>
        <w:tc>
          <w:tcPr>
            <w:tcW w:w="365" w:type="pct"/>
            <w:tcBorders>
              <w:top w:val="double" w:color="auto" w:sz="4" w:space="0"/>
              <w:left w:val="single" w:color="auto" w:sz="6" w:space="0"/>
              <w:bottom w:val="double" w:color="auto" w:sz="4" w:space="0"/>
              <w:right w:val="double" w:color="auto" w:sz="4" w:space="0"/>
            </w:tcBorders>
            <w:shd w:val="clear" w:color="auto" w:fill="D9D9D9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2021 </w:t>
            </w:r>
          </w:p>
        </w:tc>
        <w:tc>
          <w:tcPr>
            <w:tcW w:w="552" w:type="pct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</w:rPr>
            </w:pPr>
          </w:p>
        </w:tc>
        <w:tc>
          <w:tcPr>
            <w:tcW w:w="363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2020 </w:t>
            </w:r>
          </w:p>
        </w:tc>
        <w:tc>
          <w:tcPr>
            <w:tcW w:w="361" w:type="pct"/>
            <w:tcBorders>
              <w:top w:val="double" w:color="auto" w:sz="4" w:space="0"/>
              <w:left w:val="single" w:color="auto" w:sz="6" w:space="0"/>
              <w:bottom w:val="double" w:color="auto" w:sz="4" w:space="0"/>
              <w:right w:val="double" w:color="auto" w:sz="4" w:space="0"/>
            </w:tcBorders>
            <w:shd w:val="clear" w:color="auto" w:fill="D9D9D9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2021 </w:t>
            </w:r>
          </w:p>
        </w:tc>
        <w:tc>
          <w:tcPr>
            <w:tcW w:w="517" w:type="pct"/>
            <w:vMerge w:val="continue"/>
            <w:tcBorders>
              <w:top w:val="nil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</w:p>
        </w:tc>
        <w:tc>
          <w:tcPr>
            <w:tcW w:w="34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  <w:p>
            <w:pPr>
              <w:jc w:val="center"/>
              <w:rPr>
                <w:b/>
              </w:rPr>
            </w:pPr>
          </w:p>
        </w:tc>
        <w:tc>
          <w:tcPr>
            <w:tcW w:w="344" w:type="pct"/>
            <w:tcBorders>
              <w:top w:val="double" w:color="auto" w:sz="4" w:space="0"/>
              <w:left w:val="single" w:color="auto" w:sz="6" w:space="0"/>
              <w:bottom w:val="double" w:color="auto" w:sz="4" w:space="0"/>
              <w:right w:val="double" w:color="auto" w:sz="4" w:space="0"/>
            </w:tcBorders>
            <w:shd w:val="clear" w:color="auto" w:fill="D9D9D9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2021 </w:t>
            </w:r>
          </w:p>
        </w:tc>
        <w:tc>
          <w:tcPr>
            <w:tcW w:w="512" w:type="pct"/>
            <w:vMerge w:val="continue"/>
            <w:tcBorders>
              <w:top w:val="nil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6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both"/>
            </w:pPr>
            <w:r>
              <w:t>Места открытого хранения веществ, материалов, сельскохозяйственные угодья и прочие открытые территории</w:t>
            </w:r>
          </w:p>
        </w:tc>
        <w:tc>
          <w:tcPr>
            <w:tcW w:w="36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3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</w:pPr>
            <w:r>
              <w:t>0</w:t>
            </w:r>
          </w:p>
        </w:tc>
        <w:tc>
          <w:tcPr>
            <w:tcW w:w="55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-100%</w:t>
            </w:r>
          </w:p>
        </w:tc>
        <w:tc>
          <w:tcPr>
            <w:tcW w:w="36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517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8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1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6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r>
              <w:t>Здания жилого назначения</w:t>
            </w:r>
          </w:p>
        </w:tc>
        <w:tc>
          <w:tcPr>
            <w:tcW w:w="36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tcW w:w="3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tcW w:w="55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+в 2 р.</w:t>
            </w:r>
          </w:p>
        </w:tc>
        <w:tc>
          <w:tcPr>
            <w:tcW w:w="36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517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8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1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6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r>
              <w:t>Транспортные средства</w:t>
            </w:r>
          </w:p>
        </w:tc>
        <w:tc>
          <w:tcPr>
            <w:tcW w:w="36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t>0</w:t>
            </w:r>
          </w:p>
        </w:tc>
        <w:tc>
          <w:tcPr>
            <w:tcW w:w="3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</w:pPr>
            <w:r>
              <w:t>9</w:t>
            </w:r>
          </w:p>
        </w:tc>
        <w:tc>
          <w:tcPr>
            <w:tcW w:w="55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</w:t>
            </w:r>
          </w:p>
        </w:tc>
        <w:tc>
          <w:tcPr>
            <w:tcW w:w="36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517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8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6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Прочие объекты пожара</w:t>
            </w:r>
          </w:p>
        </w:tc>
        <w:tc>
          <w:tcPr>
            <w:tcW w:w="36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5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snapToGrid w:val="0"/>
                <w:color w:val="000000"/>
              </w:rPr>
            </w:pPr>
            <w:r>
              <w:t>+100%</w:t>
            </w:r>
          </w:p>
        </w:tc>
        <w:tc>
          <w:tcPr>
            <w:tcW w:w="36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517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8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1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6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Строящиеся (реконструируемые) здания (сооружения)</w:t>
            </w:r>
          </w:p>
        </w:tc>
        <w:tc>
          <w:tcPr>
            <w:tcW w:w="36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+100%</w:t>
            </w:r>
          </w:p>
        </w:tc>
        <w:tc>
          <w:tcPr>
            <w:tcW w:w="36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517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8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1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6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Здания производственного назначения</w:t>
            </w:r>
          </w:p>
        </w:tc>
        <w:tc>
          <w:tcPr>
            <w:tcW w:w="36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5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snapToGrid w:val="0"/>
                <w:color w:val="000000"/>
              </w:rPr>
            </w:pPr>
            <w:r>
              <w:t>+в 2 р.</w:t>
            </w:r>
          </w:p>
        </w:tc>
        <w:tc>
          <w:tcPr>
            <w:tcW w:w="36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517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8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1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6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ИТОГО:</w:t>
            </w:r>
          </w:p>
        </w:tc>
        <w:tc>
          <w:tcPr>
            <w:tcW w:w="36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3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</w:t>
            </w:r>
          </w:p>
        </w:tc>
        <w:tc>
          <w:tcPr>
            <w:tcW w:w="55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+в 3,6 р.</w:t>
            </w:r>
          </w:p>
        </w:tc>
        <w:tc>
          <w:tcPr>
            <w:tcW w:w="363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17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</w:t>
            </w:r>
          </w:p>
        </w:tc>
        <w:tc>
          <w:tcPr>
            <w:tcW w:w="348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t>0</w:t>
            </w:r>
          </w:p>
        </w:tc>
        <w:tc>
          <w:tcPr>
            <w:tcW w:w="3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w="512" w:type="pct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</w:t>
            </w:r>
          </w:p>
        </w:tc>
      </w:tr>
    </w:tbl>
    <w:p>
      <w:pPr>
        <w:jc w:val="both"/>
        <w:rPr>
          <w:b/>
          <w:bCs/>
          <w:iCs/>
          <w:sz w:val="26"/>
          <w:szCs w:val="26"/>
        </w:rPr>
      </w:pPr>
    </w:p>
    <w:p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Анализируя представленную таблицу, следует отметить, что основная доля пожаров, произошедших на территории Ханты-Мансийского района, приходится на:</w:t>
      </w:r>
    </w:p>
    <w:p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транспортные средства – 9 пожаров (40,9% от общего количества пожаров);</w:t>
      </w:r>
    </w:p>
    <w:p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жилой сектор – 8 пожара (36,4% от общего количества пожаров).</w:t>
      </w:r>
    </w:p>
    <w:p>
      <w:pPr>
        <w:jc w:val="both"/>
        <w:rPr>
          <w:b/>
          <w:bCs/>
          <w:iCs/>
        </w:rPr>
      </w:pPr>
    </w:p>
    <w:p>
      <w:pPr>
        <w:ind w:firstLine="708"/>
        <w:rPr>
          <w:b/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 xml:space="preserve">Диаграмма № 2: Распределение </w:t>
      </w:r>
      <w:r>
        <w:rPr>
          <w:b/>
          <w:iCs/>
          <w:sz w:val="26"/>
          <w:szCs w:val="26"/>
        </w:rPr>
        <w:t>пожаров по объектам (количество пожаров и % доли)</w:t>
      </w:r>
    </w:p>
    <w:p>
      <w:pPr>
        <w:jc w:val="center"/>
        <w:rPr>
          <w:rFonts w:eastAsia="MS Mincho"/>
          <w:b/>
          <w:bCs/>
          <w:sz w:val="26"/>
          <w:szCs w:val="26"/>
        </w:rPr>
      </w:pPr>
      <w:r>
        <w:rPr>
          <w:rFonts w:eastAsia="MS Mincho"/>
          <w:b/>
          <w:bCs/>
          <w:sz w:val="26"/>
          <w:szCs w:val="26"/>
        </w:rPr>
        <w:drawing>
          <wp:inline distT="0" distB="0" distL="0" distR="0">
            <wp:extent cx="5561330" cy="2756535"/>
            <wp:effectExtent l="19050" t="0" r="20188" b="5402"/>
            <wp:docPr id="9" name="Диаграмма 3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>
      <w:pPr>
        <w:jc w:val="both"/>
        <w:rPr>
          <w:b/>
          <w:bCs/>
          <w:iCs/>
        </w:rPr>
      </w:pPr>
    </w:p>
    <w:p>
      <w:pPr>
        <w:jc w:val="center"/>
        <w:rPr>
          <w:b/>
          <w:bCs/>
          <w:sz w:val="26"/>
          <w:szCs w:val="26"/>
        </w:rPr>
      </w:pPr>
    </w:p>
    <w:p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Распределение количества пожаров, являющимися объектами мусора, сухой травы </w:t>
      </w:r>
    </w:p>
    <w:p>
      <w:pPr>
        <w:jc w:val="right"/>
        <w:rPr>
          <w:sz w:val="26"/>
          <w:szCs w:val="26"/>
        </w:rPr>
      </w:pPr>
    </w:p>
    <w:p>
      <w:pPr>
        <w:jc w:val="right"/>
        <w:rPr>
          <w:sz w:val="26"/>
          <w:szCs w:val="26"/>
        </w:rPr>
      </w:pPr>
      <w:r>
        <w:rPr>
          <w:sz w:val="26"/>
          <w:szCs w:val="26"/>
        </w:rPr>
        <w:t>Таблица 3</w:t>
      </w:r>
    </w:p>
    <w:tbl>
      <w:tblPr>
        <w:tblStyle w:val="7"/>
        <w:tblW w:w="5079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67"/>
        <w:gridCol w:w="1390"/>
        <w:gridCol w:w="1114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94" w:type="pct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Объекты</w:t>
            </w:r>
          </w:p>
        </w:tc>
        <w:tc>
          <w:tcPr>
            <w:tcW w:w="1216" w:type="pct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Количество пожаров</w:t>
            </w:r>
          </w:p>
        </w:tc>
        <w:tc>
          <w:tcPr>
            <w:tcW w:w="790" w:type="pct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Изменение 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в 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94" w:type="pct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t>2020</w:t>
            </w:r>
          </w:p>
        </w:tc>
        <w:tc>
          <w:tcPr>
            <w:tcW w:w="541" w:type="pct"/>
            <w:tcBorders>
              <w:top w:val="double" w:color="auto" w:sz="4" w:space="0"/>
              <w:left w:val="single" w:color="auto" w:sz="6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</w:pPr>
            <w:r>
              <w:t xml:space="preserve">2021 </w:t>
            </w:r>
          </w:p>
        </w:tc>
        <w:tc>
          <w:tcPr>
            <w:tcW w:w="790" w:type="pct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94" w:type="pct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both"/>
            </w:pPr>
            <w:r>
              <w:t>Мусор вне территории жилой зоны и предприятия, организации, учреждения</w:t>
            </w:r>
          </w:p>
        </w:tc>
        <w:tc>
          <w:tcPr>
            <w:tcW w:w="67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w="541" w:type="pct"/>
            <w:tcBorders>
              <w:top w:val="double" w:color="auto" w:sz="4" w:space="0"/>
              <w:left w:val="single" w:color="auto" w:sz="6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</w:pPr>
            <w:r>
              <w:t>0</w:t>
            </w:r>
          </w:p>
        </w:tc>
        <w:tc>
          <w:tcPr>
            <w:tcW w:w="790" w:type="pct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94" w:type="pct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both"/>
            </w:pPr>
            <w:r>
              <w:t>Мусор на территории жилой зоны (кроме территорий домовладений)</w:t>
            </w:r>
          </w:p>
        </w:tc>
        <w:tc>
          <w:tcPr>
            <w:tcW w:w="67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w="541" w:type="pct"/>
            <w:tcBorders>
              <w:top w:val="double" w:color="auto" w:sz="4" w:space="0"/>
              <w:left w:val="single" w:color="auto" w:sz="6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</w:pPr>
            <w:r>
              <w:t>0</w:t>
            </w:r>
          </w:p>
        </w:tc>
        <w:tc>
          <w:tcPr>
            <w:tcW w:w="790" w:type="pct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94" w:type="pct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both"/>
            </w:pPr>
            <w:r>
              <w:t>Сухая трава (сено, камыш и т.д.)</w:t>
            </w:r>
          </w:p>
        </w:tc>
        <w:tc>
          <w:tcPr>
            <w:tcW w:w="67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t>-</w:t>
            </w:r>
          </w:p>
        </w:tc>
        <w:tc>
          <w:tcPr>
            <w:tcW w:w="541" w:type="pct"/>
            <w:tcBorders>
              <w:top w:val="double" w:color="auto" w:sz="4" w:space="0"/>
              <w:left w:val="single" w:color="auto" w:sz="6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</w:pPr>
            <w:r>
              <w:t>-</w:t>
            </w:r>
          </w:p>
        </w:tc>
        <w:tc>
          <w:tcPr>
            <w:tcW w:w="790" w:type="pct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9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67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541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</w:pPr>
            <w:r>
              <w:t>0</w:t>
            </w:r>
          </w:p>
        </w:tc>
        <w:tc>
          <w:tcPr>
            <w:tcW w:w="79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-в 2 р.</w:t>
            </w:r>
          </w:p>
        </w:tc>
      </w:tr>
    </w:tbl>
    <w:p>
      <w:pPr>
        <w:jc w:val="both"/>
        <w:rPr>
          <w:b/>
          <w:bCs/>
          <w:iCs/>
        </w:rPr>
      </w:pPr>
    </w:p>
    <w:p>
      <w:pPr>
        <w:ind w:firstLine="708"/>
        <w:jc w:val="both"/>
        <w:rPr>
          <w:b/>
          <w:iCs/>
        </w:rPr>
      </w:pPr>
      <w:r>
        <w:rPr>
          <w:b/>
          <w:bCs/>
          <w:iCs/>
        </w:rPr>
        <w:t xml:space="preserve">Диаграмма 3: </w:t>
      </w:r>
      <w:r>
        <w:rPr>
          <w:b/>
          <w:iCs/>
        </w:rPr>
        <w:t>Пожары и их последствия, произошедшие в местах открытого хранения веществ, материалов, сельскохозяйственных угодьях и прочих открытых территориях</w:t>
      </w:r>
    </w:p>
    <w:p>
      <w:pPr>
        <w:ind w:firstLine="708"/>
        <w:jc w:val="both"/>
        <w:rPr>
          <w:b/>
          <w:iCs/>
        </w:rPr>
      </w:pPr>
    </w:p>
    <w:p>
      <w:pPr>
        <w:jc w:val="both"/>
        <w:rPr>
          <w:color w:val="FF0000"/>
          <w:sz w:val="26"/>
          <w:szCs w:val="26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521335</wp:posOffset>
                </wp:positionV>
                <wp:extent cx="417830" cy="313690"/>
                <wp:effectExtent l="19050" t="6350" r="20320" b="22860"/>
                <wp:wrapNone/>
                <wp:docPr id="16" name="Стрелка вверх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7830" cy="31369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70AD47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Стрелка вверх 53" o:spid="_x0000_s1026" o:spt="68" type="#_x0000_t68" style="position:absolute;left:0pt;margin-left:67.6pt;margin-top:41.05pt;height:24.7pt;width:32.9pt;rotation:11796480f;z-index:251674624;mso-width-relative:page;mso-height-relative:page;" fillcolor="#70AD47" filled="t" stroked="t" coordsize="21600,21600" o:gfxdata="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Tfm6w1wAA&#10;AAoBAAAPAAAAAAAAAAEAIAAAACIAAABkcnMvZG93bnJldi54bWxQSwECFAAUAAAACACHTuJAzto+&#10;UVgCAAC9BAAADgAAAAAAAAABACAAAAAmAQAAZHJzL2Uyb0RvYy54bWxQSwUGAAAAAAYABgBZAQAA&#10;8AUAAAAA&#10;" adj="10800,5400">
                <v:fill on="t" focussize="0,0"/>
                <v:stroke weight="1pt" color="#FFFFFF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  <w:szCs w:val="2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554355</wp:posOffset>
            </wp:positionV>
            <wp:extent cx="1296035" cy="313690"/>
            <wp:effectExtent l="19050" t="0" r="0" b="0"/>
            <wp:wrapNone/>
            <wp:docPr id="55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686435</wp:posOffset>
            </wp:positionV>
            <wp:extent cx="1534795" cy="312420"/>
            <wp:effectExtent l="0" t="0" r="0" b="0"/>
            <wp:wrapNone/>
            <wp:docPr id="54" name="Схема 3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696595</wp:posOffset>
            </wp:positionV>
            <wp:extent cx="1576070" cy="313690"/>
            <wp:effectExtent l="0" t="0" r="0" b="0"/>
            <wp:wrapNone/>
            <wp:docPr id="56" name="Схема 3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690245</wp:posOffset>
            </wp:positionV>
            <wp:extent cx="1364615" cy="306705"/>
            <wp:effectExtent l="0" t="0" r="0" b="0"/>
            <wp:wrapNone/>
            <wp:docPr id="57" name="Схема 3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anchor>
        </w:drawing>
      </w:r>
      <w:r>
        <w:rPr>
          <w:color w:val="FF0000"/>
          <w:sz w:val="26"/>
          <w:szCs w:val="26"/>
        </w:rPr>
        <w:drawing>
          <wp:inline distT="0" distB="0" distL="0" distR="0">
            <wp:extent cx="6106795" cy="2019300"/>
            <wp:effectExtent l="19050" t="0" r="26727" b="0"/>
            <wp:docPr id="58" name="Диаграмма 3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>
      <w:pPr>
        <w:ind w:firstLine="708"/>
        <w:jc w:val="both"/>
        <w:rPr>
          <w:b/>
          <w:iCs/>
        </w:rPr>
      </w:pPr>
      <w:r>
        <w:rPr>
          <w:b/>
          <w:bCs/>
          <w:iCs/>
        </w:rPr>
        <w:t xml:space="preserve">Диаграмма 4: </w:t>
      </w:r>
      <w:r>
        <w:rPr>
          <w:b/>
          <w:iCs/>
        </w:rPr>
        <w:t xml:space="preserve">Пожары и их последствия, произошедшие на объектах жилого сектора </w:t>
      </w:r>
    </w:p>
    <w:p>
      <w:pPr>
        <w:ind w:firstLine="708"/>
        <w:jc w:val="both"/>
        <w:rPr>
          <w:b/>
          <w:iCs/>
        </w:rPr>
      </w:pPr>
    </w:p>
    <w:p>
      <w:pPr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996315</wp:posOffset>
            </wp:positionV>
            <wp:extent cx="1310005" cy="313690"/>
            <wp:effectExtent l="0" t="0" r="0" b="0"/>
            <wp:wrapNone/>
            <wp:docPr id="43" name="Схема 3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968375</wp:posOffset>
            </wp:positionV>
            <wp:extent cx="1241425" cy="313690"/>
            <wp:effectExtent l="0" t="0" r="0" b="0"/>
            <wp:wrapNone/>
            <wp:docPr id="46" name="Схема 3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856615</wp:posOffset>
                </wp:positionH>
                <wp:positionV relativeFrom="paragraph">
                  <wp:posOffset>548640</wp:posOffset>
                </wp:positionV>
                <wp:extent cx="417830" cy="313690"/>
                <wp:effectExtent l="19050" t="8255" r="20320" b="20955"/>
                <wp:wrapNone/>
                <wp:docPr id="6" name="Стрелка ввер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31369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Стрелка вверх 35" o:spid="_x0000_s1026" o:spt="68" type="#_x0000_t68" style="position:absolute;left:0pt;margin-left:67.45pt;margin-top:43.2pt;height:24.7pt;width:32.9pt;z-index:251669504;mso-width-relative:page;mso-height-relative:page;" fillcolor="#FF0000" filled="t" stroked="t" coordsize="21600,21600" o:gfxdata="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sRWLMtkAAAAKAQAADwAAAAAA&#10;AAABACAAAAAiAAAAZHJzL2Rvd25yZXYueG1sUEsBAhQAFAAAAAgAh07iQG/9cydLAgAArQQAAA4A&#10;AAAAAAAAAQAgAAAAKAEAAGRycy9lMm9Eb2MueG1sUEsFBgAAAAAGAAYAWQEAAOUFAAAAAA==&#10;" adj="10800,5400">
                <v:fill on="t" focussize="0,0"/>
                <v:stroke weight="1pt" color="#FFFFFF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580390</wp:posOffset>
            </wp:positionV>
            <wp:extent cx="1296035" cy="313690"/>
            <wp:effectExtent l="19050" t="0" r="0" b="0"/>
            <wp:wrapNone/>
            <wp:docPr id="47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996950</wp:posOffset>
            </wp:positionV>
            <wp:extent cx="1364615" cy="306705"/>
            <wp:effectExtent l="0" t="0" r="0" b="0"/>
            <wp:wrapNone/>
            <wp:docPr id="44" name="Схема 3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anchor>
        </w:drawing>
      </w:r>
      <w:r>
        <w:rPr>
          <w:color w:val="FF0000"/>
          <w:sz w:val="26"/>
          <w:szCs w:val="26"/>
        </w:rPr>
        <w:drawing>
          <wp:inline distT="0" distB="0" distL="0" distR="0">
            <wp:extent cx="6004560" cy="2094865"/>
            <wp:effectExtent l="19050" t="0" r="14785" b="568"/>
            <wp:docPr id="48" name="Диаграмма 3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>
      <w:pPr>
        <w:rPr>
          <w:b/>
          <w:bCs/>
          <w:sz w:val="26"/>
          <w:szCs w:val="26"/>
        </w:rPr>
      </w:pPr>
    </w:p>
    <w:p>
      <w:pPr>
        <w:jc w:val="both"/>
        <w:rPr>
          <w:color w:val="000000"/>
        </w:rPr>
      </w:pPr>
    </w:p>
    <w:p>
      <w:pPr>
        <w:jc w:val="both"/>
        <w:rPr>
          <w:b/>
          <w:bCs/>
          <w:iCs/>
        </w:rPr>
      </w:pPr>
    </w:p>
    <w:p>
      <w:pPr>
        <w:jc w:val="both"/>
        <w:rPr>
          <w:b/>
          <w:bCs/>
          <w:iCs/>
        </w:rPr>
      </w:pPr>
    </w:p>
    <w:p>
      <w:pPr>
        <w:jc w:val="both"/>
        <w:rPr>
          <w:b/>
          <w:bCs/>
          <w:iCs/>
        </w:rPr>
      </w:pPr>
    </w:p>
    <w:p>
      <w:pPr>
        <w:jc w:val="both"/>
        <w:rPr>
          <w:b/>
          <w:bCs/>
          <w:iCs/>
        </w:rPr>
      </w:pPr>
    </w:p>
    <w:p>
      <w:pPr>
        <w:jc w:val="both"/>
        <w:rPr>
          <w:b/>
          <w:bCs/>
          <w:iCs/>
        </w:rPr>
      </w:pPr>
    </w:p>
    <w:p>
      <w:pPr>
        <w:jc w:val="both"/>
        <w:rPr>
          <w:b/>
          <w:bCs/>
          <w:iCs/>
        </w:rPr>
      </w:pPr>
    </w:p>
    <w:p>
      <w:pPr>
        <w:ind w:firstLine="708"/>
        <w:jc w:val="both"/>
        <w:rPr>
          <w:b/>
          <w:iCs/>
        </w:rPr>
      </w:pPr>
      <w:r>
        <w:rPr>
          <w:b/>
          <w:bCs/>
          <w:iCs/>
        </w:rPr>
        <w:t xml:space="preserve">Диаграмма 5: </w:t>
      </w:r>
      <w:r>
        <w:rPr>
          <w:b/>
          <w:iCs/>
        </w:rPr>
        <w:t xml:space="preserve">Пожары и их последствия, произошедшие на объектах транспорта </w:t>
      </w:r>
    </w:p>
    <w:p>
      <w:pPr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746125</wp:posOffset>
            </wp:positionV>
            <wp:extent cx="1297940" cy="313055"/>
            <wp:effectExtent l="19050" t="0" r="0" b="0"/>
            <wp:wrapNone/>
            <wp:docPr id="23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397510</wp:posOffset>
            </wp:positionV>
            <wp:extent cx="1297940" cy="315595"/>
            <wp:effectExtent l="19050" t="0" r="0" b="8255"/>
            <wp:wrapNone/>
            <wp:docPr id="60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2" r:lo="rId83" r:qs="rId84" r:cs="rId85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4192905</wp:posOffset>
            </wp:positionH>
            <wp:positionV relativeFrom="paragraph">
              <wp:posOffset>429260</wp:posOffset>
            </wp:positionV>
            <wp:extent cx="1297940" cy="313690"/>
            <wp:effectExtent l="19050" t="0" r="0" b="0"/>
            <wp:wrapNone/>
            <wp:docPr id="10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1130935</wp:posOffset>
            </wp:positionV>
            <wp:extent cx="1262380" cy="313690"/>
            <wp:effectExtent l="0" t="0" r="0" b="0"/>
            <wp:wrapNone/>
            <wp:docPr id="62" name="Схема 3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2" r:lo="rId93" r:qs="rId94" r:cs="rId95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1146175</wp:posOffset>
            </wp:positionV>
            <wp:extent cx="1118870" cy="306705"/>
            <wp:effectExtent l="0" t="0" r="0" b="0"/>
            <wp:wrapNone/>
            <wp:docPr id="61" name="Схема 3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7" r:lo="rId98" r:qs="rId99" r:cs="rId100"/>
              </a:graphicData>
            </a:graphic>
          </wp:anchor>
        </w:drawing>
      </w:r>
      <w:r>
        <w:rPr>
          <w:color w:val="FF0000"/>
          <w:sz w:val="26"/>
          <w:szCs w:val="26"/>
        </w:rPr>
        <w:drawing>
          <wp:inline distT="0" distB="0" distL="0" distR="0">
            <wp:extent cx="5936615" cy="2183130"/>
            <wp:effectExtent l="19050" t="0" r="25874" b="7108"/>
            <wp:docPr id="35" name="Диаграмма 3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>
      <w:pPr>
        <w:jc w:val="center"/>
        <w:rPr>
          <w:b/>
          <w:bCs/>
          <w:sz w:val="26"/>
          <w:szCs w:val="26"/>
        </w:rPr>
      </w:pPr>
    </w:p>
    <w:p>
      <w:pPr>
        <w:jc w:val="both"/>
        <w:rPr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Cs/>
          <w:sz w:val="26"/>
          <w:szCs w:val="26"/>
        </w:rPr>
        <w:t>Необходимо отметить, что 8 случаев возгорания транспортных средств зарегистрированы на межселенной территории Ханты-Мансийского района.</w:t>
      </w:r>
    </w:p>
    <w:p>
      <w:pPr>
        <w:jc w:val="both"/>
        <w:rPr>
          <w:color w:val="000000"/>
        </w:rPr>
      </w:pPr>
    </w:p>
    <w:tbl>
      <w:tblPr>
        <w:tblStyle w:val="22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53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- 26 февраля 2021 года в 10-51 час.</w:t>
            </w:r>
            <w:r>
              <w:rPr>
                <w:color w:val="000000"/>
              </w:rPr>
              <w:t xml:space="preserve">                                 Ханты-Мансийский район, 881 км. автодороги Тюмень-Ханты-Мансийск, в грузовом автомобиле произошёл пожар. В результате пожара автомобиль повреждён огнём на площади 3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. Причина пожара – неисправность систем, механизмов и узлов транспортного средства</w:t>
            </w:r>
          </w:p>
        </w:tc>
        <w:tc>
          <w:tcPr>
            <w:tcW w:w="4644" w:type="dxa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0" distR="0">
                  <wp:extent cx="3238500" cy="1821180"/>
                  <wp:effectExtent l="19050" t="0" r="0" b="0"/>
                  <wp:docPr id="24" name="Рисунок 1" descr="C:\Users\Agafonova\Desktop\АГАФОНОВА\МОИ ДОКУМЕНТЫ\ОТКАЗНЫЕ МАТЕРИАЛЫ\2021\МАЗ 881 км\ФОто МАЗ\85415855-750c-452c-b3ee-c0e370d9bb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1" descr="C:\Users\Agafonova\Desktop\АГАФОНОВА\МОИ ДОКУМЕНТЫ\ОТКАЗНЫЕ МАТЕРИАЛЫ\2021\МАЗ 881 км\ФОто МАЗ\85415855-750c-452c-b3ee-c0e370d9bb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17" cy="182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b/>
          <w:bCs/>
          <w:iCs/>
        </w:rPr>
      </w:pPr>
    </w:p>
    <w:p>
      <w:pPr>
        <w:ind w:firstLine="708"/>
        <w:jc w:val="both"/>
        <w:rPr>
          <w:b/>
          <w:bCs/>
          <w:iCs/>
        </w:rPr>
      </w:pPr>
    </w:p>
    <w:p>
      <w:pPr>
        <w:ind w:firstLine="708"/>
        <w:jc w:val="both"/>
        <w:rPr>
          <w:b/>
          <w:iCs/>
        </w:rPr>
      </w:pPr>
      <w:r>
        <w:rPr>
          <w:b/>
          <w:bCs/>
          <w:iCs/>
        </w:rPr>
        <w:t xml:space="preserve">Диаграмма 6: </w:t>
      </w:r>
      <w:r>
        <w:rPr>
          <w:b/>
          <w:iCs/>
        </w:rPr>
        <w:t xml:space="preserve">Пожары и их последствия, произошедшие на прочих объектах </w:t>
      </w:r>
    </w:p>
    <w:p>
      <w:pPr>
        <w:jc w:val="both"/>
        <w:rPr>
          <w:b/>
          <w:iCs/>
        </w:rPr>
      </w:pPr>
      <w:r>
        <w:rPr>
          <w:b/>
          <w:iCs/>
        </w:rPr>
        <w:t xml:space="preserve"> </w:t>
      </w:r>
    </w:p>
    <w:p>
      <w:pPr>
        <w:jc w:val="both"/>
        <w:rPr>
          <w:color w:val="FF0000"/>
          <w:sz w:val="26"/>
          <w:szCs w:val="26"/>
        </w:rPr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4572635</wp:posOffset>
                </wp:positionH>
                <wp:positionV relativeFrom="paragraph">
                  <wp:posOffset>392430</wp:posOffset>
                </wp:positionV>
                <wp:extent cx="417830" cy="313690"/>
                <wp:effectExtent l="19050" t="8255" r="20320" b="20955"/>
                <wp:wrapNone/>
                <wp:docPr id="26" name="Автофигур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31369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Автофигуры 14" o:spid="_x0000_s1026" o:spt="68" type="#_x0000_t68" style="position:absolute;left:0pt;margin-left:360.05pt;margin-top:30.9pt;height:24.7pt;width:32.9pt;z-index:251697152;mso-width-relative:page;mso-height-relative:page;" fillcolor="#FF0000" filled="t" stroked="t" coordsize="21600,21600" o:gfxdata="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DansnaAAAACgEAAA8AAAAAAAAA&#10;AQAgAAAAIgAAAGRycy9kb3ducmV2LnhtbFBLAQIUABQAAAAIAIdO4kBYEUxjSAIAAKkEAAAOAAAA&#10;AAAAAAEAIAAAACkBAABkcnMvZTJvRG9jLnhtbFBLBQYAAAAABgAGAFkBAADjBQAAAAA=&#10;" adj="10800,5400">
                <v:fill on="t" focussize="0,0"/>
                <v:stroke weight="1pt" color="#FFFFFF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403860</wp:posOffset>
            </wp:positionV>
            <wp:extent cx="1297940" cy="315595"/>
            <wp:effectExtent l="19050" t="0" r="0" b="8255"/>
            <wp:wrapNone/>
            <wp:docPr id="11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4" r:lo="rId105" r:qs="rId106" r:cs="rId107"/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605155</wp:posOffset>
                </wp:positionV>
                <wp:extent cx="417830" cy="313690"/>
                <wp:effectExtent l="19050" t="8255" r="20320" b="20955"/>
                <wp:wrapNone/>
                <wp:docPr id="21" name="Автофигур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31369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Автофигуры 12" o:spid="_x0000_s1026" o:spt="68" type="#_x0000_t68" style="position:absolute;left:0pt;margin-left:71.7pt;margin-top:47.65pt;height:24.7pt;width:32.9pt;z-index:251685888;mso-width-relative:page;mso-height-relative:page;" fillcolor="#FF0000" filled="t" stroked="t" coordsize="21600,21600" o:gfxdata="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Vp1r3bAAAACgEAAA8AAAAAAAAA&#10;AQAgAAAAIgAAAGRycy9kb3ducmV2LnhtbFBLAQIUABQAAAAIAIdO4kA2fgSjRwIAAKkEAAAOAAAA&#10;AAAAAAEAIAAAACoBAABkcnMvZTJvRG9jLnhtbFBLBQYAAAAABgAGAFkBAADjBQAAAAA=&#10;" adj="10800,5400">
                <v:fill on="t" focussize="0,0"/>
                <v:stroke weight="1pt" color="#FFFFFF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  <w:szCs w:val="2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682625</wp:posOffset>
            </wp:positionV>
            <wp:extent cx="1296035" cy="313690"/>
            <wp:effectExtent l="19050" t="0" r="0" b="0"/>
            <wp:wrapNone/>
            <wp:docPr id="15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9" r:lo="rId110" r:qs="rId111" r:cs="rId112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1131570</wp:posOffset>
            </wp:positionV>
            <wp:extent cx="1241425" cy="313690"/>
            <wp:effectExtent l="0" t="0" r="0" b="0"/>
            <wp:wrapNone/>
            <wp:docPr id="7" name="Схема 3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4" r:lo="rId115" r:qs="rId116" r:cs="rId117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1029970</wp:posOffset>
            </wp:positionV>
            <wp:extent cx="1364615" cy="300355"/>
            <wp:effectExtent l="0" t="0" r="0" b="4549"/>
            <wp:wrapNone/>
            <wp:docPr id="29" name="Схема 3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9" r:lo="rId120" r:qs="rId121" r:cs="rId122"/>
              </a:graphicData>
            </a:graphic>
          </wp:anchor>
        </w:drawing>
      </w:r>
      <w:r>
        <w:rPr>
          <w:color w:val="FF0000"/>
          <w:sz w:val="26"/>
          <w:szCs w:val="26"/>
        </w:rPr>
        <w:drawing>
          <wp:inline distT="0" distB="0" distL="0" distR="0">
            <wp:extent cx="6004560" cy="2094865"/>
            <wp:effectExtent l="19050" t="0" r="14785" b="568"/>
            <wp:docPr id="49" name="Диаграмма 3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>
      <w:pPr>
        <w:rPr>
          <w:b/>
          <w:bCs/>
          <w:sz w:val="26"/>
          <w:szCs w:val="26"/>
        </w:rPr>
      </w:pPr>
    </w:p>
    <w:p>
      <w:pPr>
        <w:rPr>
          <w:b/>
          <w:bCs/>
          <w:sz w:val="26"/>
          <w:szCs w:val="26"/>
        </w:rPr>
      </w:pPr>
    </w:p>
    <w:p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Необходимо отметить, что все случаи возгорания иных объектов зарегистрированы на межселенной территории Ханты-Мансийского района.</w:t>
      </w:r>
    </w:p>
    <w:p>
      <w:pPr>
        <w:jc w:val="center"/>
        <w:rPr>
          <w:b/>
          <w:bCs/>
          <w:sz w:val="26"/>
          <w:szCs w:val="26"/>
        </w:rPr>
      </w:pPr>
    </w:p>
    <w:p>
      <w:pPr>
        <w:jc w:val="center"/>
        <w:rPr>
          <w:b/>
          <w:bCs/>
          <w:sz w:val="26"/>
          <w:szCs w:val="26"/>
        </w:rPr>
      </w:pPr>
    </w:p>
    <w:p>
      <w:pPr>
        <w:jc w:val="center"/>
        <w:rPr>
          <w:b/>
          <w:bCs/>
          <w:sz w:val="26"/>
          <w:szCs w:val="26"/>
        </w:rPr>
      </w:pPr>
    </w:p>
    <w:p>
      <w:pPr>
        <w:jc w:val="center"/>
        <w:rPr>
          <w:b/>
          <w:bCs/>
          <w:sz w:val="26"/>
          <w:szCs w:val="26"/>
        </w:rPr>
      </w:pPr>
    </w:p>
    <w:p>
      <w:pPr>
        <w:jc w:val="center"/>
        <w:rPr>
          <w:b/>
          <w:bCs/>
          <w:sz w:val="26"/>
          <w:szCs w:val="26"/>
        </w:rPr>
      </w:pPr>
    </w:p>
    <w:p>
      <w:pPr>
        <w:jc w:val="center"/>
        <w:rPr>
          <w:b/>
          <w:bCs/>
          <w:sz w:val="26"/>
          <w:szCs w:val="26"/>
        </w:rPr>
      </w:pPr>
    </w:p>
    <w:p>
      <w:pPr>
        <w:jc w:val="center"/>
        <w:rPr>
          <w:b/>
          <w:bCs/>
          <w:sz w:val="26"/>
          <w:szCs w:val="26"/>
        </w:rPr>
      </w:pPr>
    </w:p>
    <w:p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Распределение количества пожаров по их причинам</w:t>
      </w:r>
    </w:p>
    <w:p>
      <w:pPr>
        <w:keepNext/>
        <w:jc w:val="right"/>
        <w:outlineLvl w:val="1"/>
        <w:rPr>
          <w:sz w:val="26"/>
          <w:szCs w:val="26"/>
        </w:rPr>
      </w:pPr>
      <w:r>
        <w:rPr>
          <w:sz w:val="26"/>
          <w:szCs w:val="26"/>
        </w:rPr>
        <w:t>Таблица 4</w:t>
      </w:r>
    </w:p>
    <w:tbl>
      <w:tblPr>
        <w:tblStyle w:val="7"/>
        <w:tblW w:w="9708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1"/>
        <w:gridCol w:w="762"/>
        <w:gridCol w:w="737"/>
        <w:gridCol w:w="1110"/>
        <w:gridCol w:w="1466"/>
        <w:gridCol w:w="708"/>
        <w:gridCol w:w="768"/>
        <w:gridCol w:w="882"/>
        <w:gridCol w:w="7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2481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Причины пожара</w:t>
            </w:r>
          </w:p>
        </w:tc>
        <w:tc>
          <w:tcPr>
            <w:tcW w:w="1499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Количество 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пожаров</w:t>
            </w:r>
          </w:p>
        </w:tc>
        <w:tc>
          <w:tcPr>
            <w:tcW w:w="111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%,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+/-</w:t>
            </w:r>
          </w:p>
        </w:tc>
        <w:tc>
          <w:tcPr>
            <w:tcW w:w="1466" w:type="dxa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Ущерб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в 2021 году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1476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Гибель</w:t>
            </w:r>
          </w:p>
        </w:tc>
        <w:tc>
          <w:tcPr>
            <w:tcW w:w="1676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Травмы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2481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2020 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2021 </w:t>
            </w:r>
          </w:p>
        </w:tc>
        <w:tc>
          <w:tcPr>
            <w:tcW w:w="111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466" w:type="dxa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76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2481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Нарушение правил устройства и эксплуатации электрооборудования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1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+в 7 р.</w:t>
            </w:r>
          </w:p>
        </w:tc>
        <w:tc>
          <w:tcPr>
            <w:tcW w:w="146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0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6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2481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Нарушение правил устройства и эксплуатации печей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1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0%</w:t>
            </w:r>
          </w:p>
        </w:tc>
        <w:tc>
          <w:tcPr>
            <w:tcW w:w="146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0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6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1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Неосторожное обращение с огнём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1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-100%</w:t>
            </w:r>
          </w:p>
        </w:tc>
        <w:tc>
          <w:tcPr>
            <w:tcW w:w="146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0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6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1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Нарушение правил устройства и эксплуатации транспортных средств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1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</w:t>
            </w:r>
          </w:p>
        </w:tc>
        <w:tc>
          <w:tcPr>
            <w:tcW w:w="146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4 800 893</w:t>
            </w:r>
          </w:p>
        </w:tc>
        <w:tc>
          <w:tcPr>
            <w:tcW w:w="70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1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Прочие причины пожаров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1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+в 2 р.</w:t>
            </w:r>
          </w:p>
        </w:tc>
        <w:tc>
          <w:tcPr>
            <w:tcW w:w="146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190 530</w:t>
            </w:r>
          </w:p>
        </w:tc>
        <w:tc>
          <w:tcPr>
            <w:tcW w:w="70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6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1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Нарушение правил устройства и эксплуатации газового оборудования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1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</w:t>
            </w:r>
          </w:p>
        </w:tc>
        <w:tc>
          <w:tcPr>
            <w:tcW w:w="146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0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6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1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ИТОГО: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</w:t>
            </w:r>
          </w:p>
        </w:tc>
        <w:tc>
          <w:tcPr>
            <w:tcW w:w="111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+в 3,6 р.</w:t>
            </w:r>
          </w:p>
        </w:tc>
        <w:tc>
          <w:tcPr>
            <w:tcW w:w="146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4 991 423</w:t>
            </w:r>
          </w:p>
        </w:tc>
        <w:tc>
          <w:tcPr>
            <w:tcW w:w="70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76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</w:tr>
    </w:tbl>
    <w:p>
      <w:pPr>
        <w:jc w:val="both"/>
        <w:rPr>
          <w:bCs/>
          <w:sz w:val="26"/>
          <w:szCs w:val="26"/>
        </w:rPr>
      </w:pPr>
    </w:p>
    <w:p>
      <w:pPr>
        <w:jc w:val="both"/>
        <w:rPr>
          <w:b/>
          <w:bCs/>
          <w:iCs/>
        </w:rPr>
      </w:pPr>
    </w:p>
    <w:p>
      <w:pPr>
        <w:ind w:firstLine="708"/>
        <w:jc w:val="both"/>
        <w:rPr>
          <w:b/>
          <w:iCs/>
        </w:rPr>
      </w:pPr>
      <w:r>
        <w:rPr>
          <w:b/>
          <w:bCs/>
          <w:iCs/>
        </w:rPr>
        <w:t xml:space="preserve">Диаграмма 7: </w:t>
      </w:r>
      <w:r>
        <w:rPr>
          <w:b/>
          <w:iCs/>
        </w:rPr>
        <w:t>Основные причины возникновения пожаров (количество пожаров и % доли)</w:t>
      </w:r>
    </w:p>
    <w:p>
      <w:pPr>
        <w:ind w:firstLine="709"/>
        <w:jc w:val="both"/>
        <w:rPr>
          <w:sz w:val="26"/>
          <w:szCs w:val="26"/>
        </w:rPr>
      </w:pPr>
    </w:p>
    <w:p>
      <w:pPr>
        <w:ind w:firstLine="851"/>
        <w:rPr>
          <w:b/>
          <w:bCs/>
          <w:iCs/>
          <w:sz w:val="26"/>
          <w:szCs w:val="26"/>
        </w:rPr>
      </w:pPr>
      <w:r>
        <w:rPr>
          <w:rFonts w:eastAsia="MS Mincho"/>
          <w:b/>
          <w:bCs/>
          <w:sz w:val="26"/>
          <w:szCs w:val="26"/>
        </w:rPr>
        <w:drawing>
          <wp:inline distT="0" distB="0" distL="0" distR="0">
            <wp:extent cx="5118735" cy="2998470"/>
            <wp:effectExtent l="19050" t="0" r="24493" b="0"/>
            <wp:docPr id="274" name="Диаграмма 3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>
      <w:pPr>
        <w:ind w:firstLine="709"/>
        <w:jc w:val="both"/>
        <w:rPr>
          <w:rFonts w:eastAsia="MS Mincho"/>
          <w:bCs/>
          <w:sz w:val="26"/>
          <w:szCs w:val="26"/>
        </w:rPr>
      </w:pPr>
    </w:p>
    <w:p>
      <w:pPr>
        <w:rPr>
          <w:b/>
          <w:sz w:val="26"/>
          <w:szCs w:val="26"/>
        </w:rPr>
      </w:pPr>
    </w:p>
    <w:p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Распределение количества пожаров и последствий от них в населённых пунктах и межселенной территории Ханты-Мансийского района </w:t>
      </w:r>
    </w:p>
    <w:p>
      <w:pPr>
        <w:jc w:val="center"/>
        <w:rPr>
          <w:b/>
          <w:sz w:val="26"/>
          <w:szCs w:val="26"/>
        </w:rPr>
      </w:pPr>
    </w:p>
    <w:p>
      <w:pPr>
        <w:ind w:left="283" w:firstLine="720"/>
        <w:jc w:val="right"/>
        <w:rPr>
          <w:sz w:val="26"/>
          <w:szCs w:val="26"/>
        </w:rPr>
      </w:pPr>
      <w:r>
        <w:rPr>
          <w:sz w:val="26"/>
          <w:szCs w:val="26"/>
        </w:rPr>
        <w:t>Таблица 5</w:t>
      </w:r>
    </w:p>
    <w:tbl>
      <w:tblPr>
        <w:tblStyle w:val="7"/>
        <w:tblW w:w="5104" w:type="pct"/>
        <w:tblInd w:w="-1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712"/>
        <w:gridCol w:w="795"/>
        <w:gridCol w:w="1151"/>
        <w:gridCol w:w="807"/>
        <w:gridCol w:w="789"/>
        <w:gridCol w:w="797"/>
        <w:gridCol w:w="801"/>
        <w:gridCol w:w="845"/>
        <w:gridCol w:w="12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pct"/>
            <w:vMerge w:val="restart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ind w:right="-108"/>
              <w:jc w:val="center"/>
            </w:pPr>
            <w:r>
              <w:rPr>
                <w:b/>
              </w:rPr>
              <w:t>Наименование населённого пункта</w:t>
            </w:r>
          </w:p>
        </w:tc>
        <w:tc>
          <w:tcPr>
            <w:tcW w:w="728" w:type="pct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Кол-во пожаров</w:t>
            </w:r>
          </w:p>
        </w:tc>
        <w:tc>
          <w:tcPr>
            <w:tcW w:w="556" w:type="pct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</w:p>
          <w:p>
            <w:pPr>
              <w:jc w:val="center"/>
              <w:rPr>
                <w:b/>
              </w:rPr>
            </w:pPr>
          </w:p>
          <w:p>
            <w:pPr>
              <w:jc w:val="center"/>
              <w:rPr>
                <w:b/>
              </w:rPr>
            </w:pPr>
          </w:p>
          <w:p>
            <w:pPr>
              <w:jc w:val="center"/>
              <w:rPr>
                <w:b/>
              </w:rPr>
            </w:pP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771" w:type="pct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Зарегистрировано погибших людей</w:t>
            </w:r>
          </w:p>
        </w:tc>
        <w:tc>
          <w:tcPr>
            <w:tcW w:w="772" w:type="pct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Кол-во травмированных людей</w:t>
            </w:r>
          </w:p>
        </w:tc>
        <w:tc>
          <w:tcPr>
            <w:tcW w:w="1025" w:type="pct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Прямой ущерб, руб.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pct"/>
            <w:vMerge w:val="continue"/>
            <w:tcBorders>
              <w:left w:val="sing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ind w:right="-108"/>
            </w:pPr>
          </w:p>
        </w:tc>
        <w:tc>
          <w:tcPr>
            <w:tcW w:w="34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2020 </w:t>
            </w:r>
          </w:p>
        </w:tc>
        <w:tc>
          <w:tcPr>
            <w:tcW w:w="38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556" w:type="pct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</w:p>
        </w:tc>
        <w:tc>
          <w:tcPr>
            <w:tcW w:w="39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381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2021 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2020 </w:t>
            </w:r>
          </w:p>
        </w:tc>
        <w:tc>
          <w:tcPr>
            <w:tcW w:w="38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2021 </w:t>
            </w:r>
          </w:p>
        </w:tc>
        <w:tc>
          <w:tcPr>
            <w:tcW w:w="40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2020 </w:t>
            </w:r>
          </w:p>
        </w:tc>
        <w:tc>
          <w:tcPr>
            <w:tcW w:w="61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Горноправдинск</w:t>
            </w:r>
          </w:p>
        </w:tc>
        <w:tc>
          <w:tcPr>
            <w:tcW w:w="34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8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 2р.</w:t>
            </w:r>
          </w:p>
        </w:tc>
        <w:tc>
          <w:tcPr>
            <w:tcW w:w="39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1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0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Кышик</w:t>
            </w:r>
          </w:p>
        </w:tc>
        <w:tc>
          <w:tcPr>
            <w:tcW w:w="34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8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5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+100%</w:t>
            </w:r>
          </w:p>
        </w:tc>
        <w:tc>
          <w:tcPr>
            <w:tcW w:w="39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1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0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Реполово</w:t>
            </w:r>
          </w:p>
        </w:tc>
        <w:tc>
          <w:tcPr>
            <w:tcW w:w="34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8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+100%</w:t>
            </w:r>
          </w:p>
        </w:tc>
        <w:tc>
          <w:tcPr>
            <w:tcW w:w="39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1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0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Шапша</w:t>
            </w:r>
          </w:p>
        </w:tc>
        <w:tc>
          <w:tcPr>
            <w:tcW w:w="34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8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5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-100%</w:t>
            </w:r>
          </w:p>
        </w:tc>
        <w:tc>
          <w:tcPr>
            <w:tcW w:w="39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1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0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Красноленинский</w:t>
            </w:r>
          </w:p>
        </w:tc>
        <w:tc>
          <w:tcPr>
            <w:tcW w:w="34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8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+100%</w:t>
            </w:r>
          </w:p>
        </w:tc>
        <w:tc>
          <w:tcPr>
            <w:tcW w:w="39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1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0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д. Нялинское </w:t>
            </w:r>
          </w:p>
        </w:tc>
        <w:tc>
          <w:tcPr>
            <w:tcW w:w="34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8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5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-100%</w:t>
            </w:r>
          </w:p>
        </w:tc>
        <w:tc>
          <w:tcPr>
            <w:tcW w:w="39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1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0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Селиярово</w:t>
            </w:r>
          </w:p>
        </w:tc>
        <w:tc>
          <w:tcPr>
            <w:tcW w:w="34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8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+100%</w:t>
            </w:r>
          </w:p>
        </w:tc>
        <w:tc>
          <w:tcPr>
            <w:tcW w:w="39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1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0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Троица</w:t>
            </w:r>
          </w:p>
        </w:tc>
        <w:tc>
          <w:tcPr>
            <w:tcW w:w="34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8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5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-100%</w:t>
            </w:r>
          </w:p>
        </w:tc>
        <w:tc>
          <w:tcPr>
            <w:tcW w:w="39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1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0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Ярки</w:t>
            </w:r>
          </w:p>
        </w:tc>
        <w:tc>
          <w:tcPr>
            <w:tcW w:w="34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8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+100%</w:t>
            </w:r>
          </w:p>
        </w:tc>
        <w:tc>
          <w:tcPr>
            <w:tcW w:w="39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1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0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Вне населённых пунктов, из них:</w:t>
            </w:r>
          </w:p>
        </w:tc>
        <w:tc>
          <w:tcPr>
            <w:tcW w:w="34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8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5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+100%</w:t>
            </w:r>
          </w:p>
        </w:tc>
        <w:tc>
          <w:tcPr>
            <w:tcW w:w="39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1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38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0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ind w:right="-108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 СОНТ</w:t>
            </w:r>
          </w:p>
        </w:tc>
        <w:tc>
          <w:tcPr>
            <w:tcW w:w="34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8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5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+100%</w:t>
            </w:r>
          </w:p>
        </w:tc>
        <w:tc>
          <w:tcPr>
            <w:tcW w:w="39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</w:p>
        </w:tc>
        <w:tc>
          <w:tcPr>
            <w:tcW w:w="381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</w:p>
        </w:tc>
        <w:tc>
          <w:tcPr>
            <w:tcW w:w="38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</w:p>
        </w:tc>
        <w:tc>
          <w:tcPr>
            <w:tcW w:w="40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ind w:right="-10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34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84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55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+в 4,3 р.</w:t>
            </w:r>
          </w:p>
        </w:tc>
        <w:tc>
          <w:tcPr>
            <w:tcW w:w="39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1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38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0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17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4 991 423</w:t>
            </w:r>
          </w:p>
        </w:tc>
      </w:tr>
    </w:tbl>
    <w:p>
      <w:pPr>
        <w:rPr>
          <w:sz w:val="12"/>
          <w:szCs w:val="12"/>
        </w:rPr>
      </w:pPr>
    </w:p>
    <w:p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Из представленной выше таблицы видно, что рост числа пожаров наблюдается на территории следующих населённых пунктов Ханты-Мансийского района:</w:t>
      </w:r>
    </w:p>
    <w:p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с. Кышик  на 100%;</w:t>
      </w:r>
    </w:p>
    <w:p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с. Реполово на 100%;</w:t>
      </w:r>
    </w:p>
    <w:p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п. Красноленинский 100%;</w:t>
      </w:r>
    </w:p>
    <w:p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с. Селиярово 100%;</w:t>
      </w:r>
    </w:p>
    <w:p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д. Ярки 100%.</w:t>
      </w:r>
    </w:p>
    <w:p>
      <w:pPr>
        <w:jc w:val="both"/>
        <w:rPr>
          <w:b/>
          <w:bCs/>
          <w:iCs/>
        </w:rPr>
      </w:pPr>
    </w:p>
    <w:p>
      <w:pPr>
        <w:ind w:firstLine="708"/>
        <w:jc w:val="both"/>
        <w:rPr>
          <w:b/>
          <w:iCs/>
        </w:rPr>
      </w:pPr>
      <w:r>
        <w:rPr>
          <w:b/>
          <w:bCs/>
          <w:iCs/>
        </w:rPr>
        <w:t>Диаграмма 8: Доля п</w:t>
      </w:r>
      <w:r>
        <w:rPr>
          <w:b/>
          <w:iCs/>
        </w:rPr>
        <w:t xml:space="preserve">ожаров на территории населённых пунктов и межселенной территории Ханты-Мансийского района </w:t>
      </w:r>
    </w:p>
    <w:p>
      <w:pPr>
        <w:ind w:firstLine="708"/>
        <w:jc w:val="both"/>
        <w:rPr>
          <w:sz w:val="26"/>
          <w:szCs w:val="26"/>
        </w:rPr>
      </w:pPr>
    </w:p>
    <w:p>
      <w:pPr>
        <w:jc w:val="center"/>
        <w:rPr>
          <w:rFonts w:eastAsia="MS Mincho"/>
          <w:b/>
          <w:bCs/>
          <w:sz w:val="26"/>
          <w:szCs w:val="26"/>
        </w:rPr>
      </w:pPr>
      <w:r>
        <w:rPr>
          <w:rFonts w:eastAsia="MS Mincho"/>
          <w:b/>
          <w:bCs/>
          <w:sz w:val="26"/>
          <w:szCs w:val="26"/>
        </w:rPr>
        <w:drawing>
          <wp:inline distT="0" distB="0" distL="0" distR="0">
            <wp:extent cx="4601845" cy="1512570"/>
            <wp:effectExtent l="19050" t="0" r="27214" b="0"/>
            <wp:docPr id="330" name="Диаграмма 3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>
      <w:pPr>
        <w:jc w:val="both"/>
        <w:rPr>
          <w:b/>
          <w:bCs/>
          <w:iCs/>
        </w:rPr>
      </w:pPr>
    </w:p>
    <w:p>
      <w:pPr>
        <w:ind w:firstLine="708"/>
        <w:jc w:val="both"/>
        <w:rPr>
          <w:b/>
          <w:bCs/>
          <w:iCs/>
        </w:rPr>
      </w:pPr>
    </w:p>
    <w:p>
      <w:pPr>
        <w:ind w:firstLine="708"/>
        <w:jc w:val="both"/>
        <w:rPr>
          <w:b/>
          <w:bCs/>
          <w:iCs/>
        </w:rPr>
      </w:pPr>
    </w:p>
    <w:p>
      <w:pPr>
        <w:ind w:firstLine="708"/>
        <w:jc w:val="both"/>
        <w:rPr>
          <w:b/>
          <w:bCs/>
          <w:iCs/>
        </w:rPr>
      </w:pPr>
    </w:p>
    <w:p>
      <w:pPr>
        <w:jc w:val="both"/>
        <w:rPr>
          <w:b/>
          <w:bCs/>
          <w:iCs/>
        </w:rPr>
      </w:pPr>
    </w:p>
    <w:p>
      <w:pPr>
        <w:ind w:firstLine="708"/>
        <w:jc w:val="both"/>
        <w:rPr>
          <w:b/>
          <w:bCs/>
          <w:iCs/>
        </w:rPr>
      </w:pPr>
    </w:p>
    <w:p>
      <w:pPr>
        <w:ind w:firstLine="708"/>
        <w:jc w:val="both"/>
        <w:rPr>
          <w:b/>
          <w:bCs/>
          <w:iCs/>
        </w:rPr>
      </w:pPr>
    </w:p>
    <w:p>
      <w:pPr>
        <w:ind w:firstLine="708"/>
        <w:jc w:val="both"/>
        <w:rPr>
          <w:b/>
          <w:bCs/>
          <w:iCs/>
        </w:rPr>
      </w:pPr>
    </w:p>
    <w:p>
      <w:pPr>
        <w:ind w:firstLine="708"/>
        <w:jc w:val="both"/>
        <w:rPr>
          <w:b/>
          <w:bCs/>
          <w:iCs/>
        </w:rPr>
      </w:pPr>
    </w:p>
    <w:p>
      <w:pPr>
        <w:ind w:firstLine="708"/>
        <w:jc w:val="both"/>
        <w:rPr>
          <w:b/>
          <w:bCs/>
          <w:iCs/>
        </w:rPr>
      </w:pPr>
    </w:p>
    <w:p>
      <w:pPr>
        <w:ind w:firstLine="708"/>
        <w:jc w:val="both"/>
        <w:rPr>
          <w:b/>
          <w:bCs/>
          <w:iCs/>
        </w:rPr>
      </w:pPr>
    </w:p>
    <w:p>
      <w:pPr>
        <w:pStyle w:val="16"/>
        <w:tabs>
          <w:tab w:val="left" w:pos="0"/>
        </w:tabs>
        <w:spacing w:after="0"/>
        <w:ind w:left="0" w:right="142"/>
        <w:rPr>
          <w:b/>
          <w:sz w:val="26"/>
          <w:szCs w:val="26"/>
        </w:rPr>
      </w:pPr>
    </w:p>
    <w:p>
      <w:pPr>
        <w:pStyle w:val="16"/>
        <w:tabs>
          <w:tab w:val="left" w:pos="0"/>
        </w:tabs>
        <w:spacing w:after="0"/>
        <w:ind w:left="0" w:right="14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Распределение количества пожаров по объектам, произошедших на территории населённых пунктов и межселенной территории Ханты-Мансийского района</w:t>
      </w:r>
    </w:p>
    <w:p>
      <w:pPr>
        <w:pStyle w:val="16"/>
        <w:tabs>
          <w:tab w:val="left" w:pos="0"/>
        </w:tabs>
        <w:spacing w:after="0"/>
        <w:ind w:left="0" w:right="142"/>
        <w:jc w:val="center"/>
        <w:rPr>
          <w:b/>
          <w:sz w:val="26"/>
          <w:szCs w:val="26"/>
        </w:rPr>
      </w:pPr>
    </w:p>
    <w:p>
      <w:pPr>
        <w:ind w:left="283" w:firstLine="720"/>
        <w:jc w:val="right"/>
        <w:rPr>
          <w:sz w:val="26"/>
          <w:szCs w:val="26"/>
        </w:rPr>
      </w:pPr>
      <w:r>
        <w:rPr>
          <w:sz w:val="26"/>
          <w:szCs w:val="26"/>
        </w:rPr>
        <w:t>Таблица 6</w:t>
      </w:r>
    </w:p>
    <w:p>
      <w:pPr>
        <w:ind w:left="283" w:firstLine="720"/>
        <w:jc w:val="right"/>
        <w:rPr>
          <w:sz w:val="26"/>
          <w:szCs w:val="26"/>
        </w:rPr>
      </w:pPr>
    </w:p>
    <w:tbl>
      <w:tblPr>
        <w:tblStyle w:val="7"/>
        <w:tblW w:w="9864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5"/>
        <w:gridCol w:w="2063"/>
        <w:gridCol w:w="1495"/>
        <w:gridCol w:w="2476"/>
        <w:gridCol w:w="1345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9" w:hRule="atLeast"/>
        </w:trPr>
        <w:tc>
          <w:tcPr>
            <w:tcW w:w="2485" w:type="dxa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Причина пожара</w:t>
            </w: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Наименование сельского поселения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Кол-во пожаров</w:t>
            </w:r>
          </w:p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2020 г.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 xml:space="preserve">Кол-во </w:t>
            </w:r>
          </w:p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пожаров</w:t>
            </w:r>
          </w:p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2021 г.</w:t>
            </w:r>
          </w:p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CCCCCC"/>
          </w:tcPr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+/-%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485" w:type="dxa"/>
            <w:vMerge w:val="restart"/>
            <w:tcBorders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Места открытого хранения веществ, материалов, сельскохозяйственные угодья и пр. открытые территории</w:t>
            </w: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п. Горноправдинск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485" w:type="dxa"/>
            <w:vMerge w:val="continue"/>
            <w:tcBorders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п. Троица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485" w:type="dxa"/>
            <w:vMerge w:val="restart"/>
            <w:tcBorders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Транспортные средства</w:t>
            </w: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вне территории населённого пункта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485" w:type="dxa"/>
            <w:vMerge w:val="continue"/>
            <w:tcBorders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с. Селиярово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485" w:type="dxa"/>
            <w:vMerge w:val="restart"/>
            <w:tcBorders>
              <w:top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Объекты жилого сектора</w:t>
            </w: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п. Горноправдинск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tabs>
                <w:tab w:val="left" w:pos="780"/>
              </w:tabs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485" w:type="dxa"/>
            <w:vMerge w:val="continue"/>
            <w:tcBorders>
              <w:top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п. Красноленинский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tabs>
                <w:tab w:val="left" w:pos="780"/>
              </w:tabs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485" w:type="dxa"/>
            <w:vMerge w:val="continue"/>
            <w:tcBorders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д. Шапша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485" w:type="dxa"/>
            <w:vMerge w:val="continue"/>
            <w:tcBorders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д. Нялинское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485" w:type="dxa"/>
            <w:vMerge w:val="continue"/>
            <w:tcBorders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с. Кышик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485" w:type="dxa"/>
            <w:vMerge w:val="continue"/>
            <w:tcBorders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с. Троица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485" w:type="dxa"/>
            <w:vMerge w:val="continue"/>
            <w:tcBorders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с. Реполово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485" w:type="dxa"/>
            <w:vMerge w:val="continue"/>
            <w:tcBorders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д. Ярки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485" w:type="dxa"/>
            <w:vMerge w:val="continue"/>
            <w:tcBorders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вне территории населённого пункта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485" w:type="dxa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Прочие объекты</w:t>
            </w: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вне территории населённого пункта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485" w:type="dxa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Строящиеся объекты</w:t>
            </w: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вне территории населённого пункта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485" w:type="dxa"/>
            <w:vMerge w:val="restart"/>
            <w:tcBorders>
              <w:top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Производственные здания</w:t>
            </w: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п. Горноправдинск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485" w:type="dxa"/>
            <w:vMerge w:val="continue"/>
            <w:tcBorders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06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вне территории населённого пункта</w:t>
            </w: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4548" w:type="dxa"/>
            <w:gridSpan w:val="2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Всего</w:t>
            </w:r>
          </w:p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6</w:t>
            </w:r>
          </w:p>
        </w:tc>
        <w:tc>
          <w:tcPr>
            <w:tcW w:w="247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22</w:t>
            </w:r>
          </w:p>
        </w:tc>
        <w:tc>
          <w:tcPr>
            <w:tcW w:w="134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+в 3,6 р.</w:t>
            </w:r>
          </w:p>
        </w:tc>
      </w:tr>
    </w:tbl>
    <w:p>
      <w:pPr>
        <w:rPr>
          <w:b/>
          <w:sz w:val="26"/>
          <w:szCs w:val="26"/>
        </w:rPr>
      </w:pPr>
    </w:p>
    <w:p>
      <w:pPr>
        <w:jc w:val="center"/>
        <w:rPr>
          <w:b/>
          <w:sz w:val="26"/>
          <w:szCs w:val="26"/>
        </w:rPr>
      </w:pPr>
    </w:p>
    <w:p>
      <w:pPr>
        <w:pStyle w:val="16"/>
        <w:tabs>
          <w:tab w:val="left" w:pos="0"/>
        </w:tabs>
        <w:spacing w:after="0"/>
        <w:ind w:left="0" w:right="14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Распределение количества пожаров по причинам их возникновения, произошедших на территории населённых пунктов и межселенной территории </w:t>
      </w:r>
    </w:p>
    <w:p>
      <w:pPr>
        <w:pStyle w:val="16"/>
        <w:tabs>
          <w:tab w:val="left" w:pos="0"/>
        </w:tabs>
        <w:spacing w:after="0"/>
        <w:ind w:left="0" w:right="14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Ханты-Мансийского района</w:t>
      </w:r>
      <w:r>
        <w:rPr>
          <w:b/>
          <w:iCs/>
          <w:sz w:val="22"/>
          <w:szCs w:val="22"/>
        </w:rPr>
        <w:t xml:space="preserve"> </w:t>
      </w:r>
    </w:p>
    <w:p>
      <w:pPr>
        <w:ind w:left="283" w:firstLine="720"/>
        <w:jc w:val="right"/>
        <w:rPr>
          <w:sz w:val="26"/>
          <w:szCs w:val="26"/>
        </w:rPr>
      </w:pPr>
      <w:r>
        <w:rPr>
          <w:sz w:val="26"/>
          <w:szCs w:val="26"/>
        </w:rPr>
        <w:t>Таблица 7</w:t>
      </w:r>
    </w:p>
    <w:tbl>
      <w:tblPr>
        <w:tblStyle w:val="7"/>
        <w:tblW w:w="9864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0"/>
        <w:gridCol w:w="2290"/>
        <w:gridCol w:w="1189"/>
        <w:gridCol w:w="1637"/>
        <w:gridCol w:w="2138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9" w:hRule="atLeast"/>
        </w:trPr>
        <w:tc>
          <w:tcPr>
            <w:tcW w:w="2610" w:type="dxa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Причина пожара</w:t>
            </w: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Наименование сельского поселения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Кол-во пожаров</w:t>
            </w:r>
          </w:p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2020 г.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Кол-во пожаров</w:t>
            </w:r>
          </w:p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2021 г.</w:t>
            </w:r>
          </w:p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CCCCCC"/>
          </w:tcPr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+/-%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2610" w:type="dxa"/>
            <w:vMerge w:val="restart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Нарушение правил устройства и эксплуатации электрооборудования</w:t>
            </w: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с. Кышик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2610" w:type="dxa"/>
            <w:vMerge w:val="continue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с. Реполово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2610" w:type="dxa"/>
            <w:vMerge w:val="continue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с. Нялинское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2610" w:type="dxa"/>
            <w:vMerge w:val="continue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п. Красноленинский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2610" w:type="dxa"/>
            <w:vMerge w:val="continue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д. Ярки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2610" w:type="dxa"/>
            <w:vMerge w:val="continue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вне территории населённого пункта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610" w:type="dxa"/>
            <w:vMerge w:val="restart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Нарушение правил устройства и эксплуатации печей</w:t>
            </w: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д. Шапша 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610" w:type="dxa"/>
            <w:vMerge w:val="continue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п. Троица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610" w:type="dxa"/>
            <w:vMerge w:val="continue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п. Горноправдинск 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610" w:type="dxa"/>
            <w:vMerge w:val="continue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вне территории населённого пункта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610" w:type="dxa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Неосторожное обращение с огнём</w:t>
            </w: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п. Горноправдинск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tabs>
                <w:tab w:val="left" w:pos="780"/>
              </w:tabs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610" w:type="dxa"/>
            <w:vMerge w:val="restart"/>
            <w:tcBorders>
              <w:top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Нарушение правил устройства и эксплуатации транспортного средства</w:t>
            </w: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i/>
                <w:iCs/>
                <w:color w:val="000000" w:themeColor="text1"/>
                <w:sz w:val="22"/>
                <w:szCs w:val="22"/>
              </w:rPr>
              <w:t>вне территории</w:t>
            </w:r>
            <w:r>
              <w:rPr>
                <w:i/>
                <w:iCs/>
                <w:sz w:val="22"/>
                <w:szCs w:val="22"/>
              </w:rPr>
              <w:t xml:space="preserve"> населённого пункта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610" w:type="dxa"/>
            <w:vMerge w:val="continue"/>
            <w:tcBorders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i/>
                <w:iCs/>
                <w:color w:val="000000" w:themeColor="text1"/>
                <w:sz w:val="22"/>
                <w:szCs w:val="22"/>
              </w:rPr>
              <w:t>п. Селиярово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2610" w:type="dxa"/>
            <w:vMerge w:val="restart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Прочие причины пожаров</w:t>
            </w: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п. Горноправдинск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2610" w:type="dxa"/>
            <w:vMerge w:val="continue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п. Троица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2610" w:type="dxa"/>
            <w:vMerge w:val="continue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вне территории населённого пункта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2610" w:type="dxa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Нарушение правил устройства и эксплуатации газового оборудования</w:t>
            </w: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п. Кышик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4900" w:type="dxa"/>
            <w:gridSpan w:val="2"/>
            <w:tcBorders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Всего</w:t>
            </w:r>
          </w:p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6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22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+в 3,6%</w:t>
            </w:r>
          </w:p>
        </w:tc>
      </w:tr>
    </w:tbl>
    <w:p>
      <w:pPr>
        <w:jc w:val="center"/>
        <w:rPr>
          <w:b/>
          <w:sz w:val="26"/>
          <w:szCs w:val="26"/>
        </w:rPr>
      </w:pPr>
    </w:p>
    <w:p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Анализ пожаров в жилом секторе</w:t>
      </w:r>
    </w:p>
    <w:p>
      <w:pPr>
        <w:ind w:left="283" w:firstLine="720"/>
        <w:jc w:val="both"/>
        <w:rPr>
          <w:sz w:val="26"/>
          <w:szCs w:val="26"/>
        </w:rPr>
      </w:pP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 январь, февраль 2021 года оперативная обстановка с пожарами в жилом секторе Ханты-Мансийского района характеризовалась следующими основными показателями: </w:t>
      </w: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зарегистрировано 8 пожаров (АППГ – 4</w:t>
      </w:r>
      <w:r>
        <w:rPr>
          <w:b/>
          <w:sz w:val="26"/>
          <w:szCs w:val="26"/>
        </w:rPr>
        <w:t>; увеличение в 2 раза</w:t>
      </w:r>
      <w:r>
        <w:rPr>
          <w:sz w:val="26"/>
          <w:szCs w:val="26"/>
        </w:rPr>
        <w:t xml:space="preserve">); </w:t>
      </w: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гибель людей не допущена  (АППГ – 0 чел.; 0%);</w:t>
      </w: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травмирование людей не допущено (АППГ – 0 чел.; 0%);</w:t>
      </w: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материальный ущерб от пожаров не заявлен (АППГ – 0 руб.; 0%).</w:t>
      </w:r>
    </w:p>
    <w:p>
      <w:pPr>
        <w:jc w:val="both"/>
        <w:rPr>
          <w:sz w:val="26"/>
          <w:szCs w:val="26"/>
        </w:rPr>
      </w:pPr>
    </w:p>
    <w:p>
      <w:pPr>
        <w:jc w:val="both"/>
        <w:rPr>
          <w:sz w:val="26"/>
          <w:szCs w:val="26"/>
        </w:rPr>
      </w:pPr>
    </w:p>
    <w:p>
      <w:pPr>
        <w:ind w:firstLine="708"/>
        <w:jc w:val="both"/>
        <w:rPr>
          <w:b/>
          <w:iCs/>
        </w:rPr>
      </w:pPr>
      <w:r>
        <w:rPr>
          <w:b/>
          <w:bCs/>
          <w:iCs/>
        </w:rPr>
        <w:t xml:space="preserve">Диаграмма 9: </w:t>
      </w:r>
      <w:r>
        <w:rPr>
          <w:b/>
          <w:iCs/>
        </w:rPr>
        <w:t xml:space="preserve">Пожары и их последствия, произошедшие на объектах жилого сектора </w:t>
      </w:r>
    </w:p>
    <w:p>
      <w:pPr>
        <w:ind w:firstLine="708"/>
        <w:jc w:val="both"/>
        <w:rPr>
          <w:b/>
          <w:iCs/>
        </w:rPr>
      </w:pPr>
    </w:p>
    <w:p>
      <w:pPr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996315</wp:posOffset>
            </wp:positionV>
            <wp:extent cx="1310005" cy="313690"/>
            <wp:effectExtent l="0" t="0" r="0" b="0"/>
            <wp:wrapNone/>
            <wp:docPr id="34" name="Схема 3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7" r:lo="rId128" r:qs="rId129" r:cs="rId130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968375</wp:posOffset>
            </wp:positionV>
            <wp:extent cx="1241425" cy="313690"/>
            <wp:effectExtent l="0" t="0" r="0" b="0"/>
            <wp:wrapNone/>
            <wp:docPr id="36" name="Схема 3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2" r:lo="rId133" r:qs="rId134" r:cs="rId135"/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856615</wp:posOffset>
                </wp:positionH>
                <wp:positionV relativeFrom="paragraph">
                  <wp:posOffset>548640</wp:posOffset>
                </wp:positionV>
                <wp:extent cx="417830" cy="313690"/>
                <wp:effectExtent l="19050" t="8255" r="20320" b="20955"/>
                <wp:wrapNone/>
                <wp:docPr id="25" name="Автофигур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31369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Автофигуры 13" o:spid="_x0000_s1026" o:spt="68" type="#_x0000_t68" style="position:absolute;left:0pt;margin-left:67.45pt;margin-top:43.2pt;height:24.7pt;width:32.9pt;z-index:251691008;mso-width-relative:page;mso-height-relative:page;" fillcolor="#FF0000" filled="t" stroked="t" coordsize="21600,21600" o:gfxdata="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xFYsy2QAAAAoBAAAPAAAAAAAAAAEA&#10;IAAAACIAAABkcnMvZG93bnJldi54bWxQSwECFAAUAAAACACHTuJAThazhEcCAACpBAAADgAAAAAA&#10;AAABACAAAAAoAQAAZHJzL2Uyb0RvYy54bWxQSwUGAAAAAAYABgBZAQAA4QUAAAAA&#10;" adj="10800,5400">
                <v:fill on="t" focussize="0,0"/>
                <v:stroke weight="1pt" color="#FFFFFF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  <w:szCs w:val="2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580390</wp:posOffset>
            </wp:positionV>
            <wp:extent cx="1296035" cy="313690"/>
            <wp:effectExtent l="19050" t="0" r="0" b="0"/>
            <wp:wrapNone/>
            <wp:docPr id="37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7" r:lo="rId138" r:qs="rId139" r:cs="rId140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996950</wp:posOffset>
            </wp:positionV>
            <wp:extent cx="1364615" cy="306705"/>
            <wp:effectExtent l="0" t="0" r="0" b="0"/>
            <wp:wrapNone/>
            <wp:docPr id="38" name="Схема 3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2" r:lo="rId143" r:qs="rId144" r:cs="rId145"/>
              </a:graphicData>
            </a:graphic>
          </wp:anchor>
        </w:drawing>
      </w:r>
      <w:r>
        <w:rPr>
          <w:color w:val="FF0000"/>
          <w:sz w:val="26"/>
          <w:szCs w:val="26"/>
        </w:rPr>
        <w:drawing>
          <wp:inline distT="0" distB="0" distL="0" distR="0">
            <wp:extent cx="6004560" cy="2094865"/>
            <wp:effectExtent l="19050" t="0" r="14785" b="568"/>
            <wp:docPr id="39" name="Диаграмма 3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>
      <w:pPr>
        <w:rPr>
          <w:b/>
          <w:bCs/>
          <w:sz w:val="26"/>
          <w:szCs w:val="26"/>
        </w:rPr>
      </w:pPr>
    </w:p>
    <w:p>
      <w:pPr>
        <w:rPr>
          <w:b/>
          <w:bCs/>
          <w:sz w:val="26"/>
          <w:szCs w:val="26"/>
        </w:rPr>
      </w:pPr>
    </w:p>
    <w:p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Пожары в зданиях жилого назначения </w:t>
      </w:r>
    </w:p>
    <w:p>
      <w:pPr>
        <w:keepNext/>
        <w:jc w:val="right"/>
        <w:outlineLvl w:val="1"/>
        <w:rPr>
          <w:sz w:val="26"/>
          <w:szCs w:val="26"/>
        </w:rPr>
      </w:pPr>
      <w:r>
        <w:rPr>
          <w:sz w:val="26"/>
          <w:szCs w:val="26"/>
        </w:rPr>
        <w:t>Таблица 8</w:t>
      </w:r>
    </w:p>
    <w:tbl>
      <w:tblPr>
        <w:tblStyle w:val="7"/>
        <w:tblW w:w="10065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9"/>
        <w:gridCol w:w="762"/>
        <w:gridCol w:w="737"/>
        <w:gridCol w:w="1095"/>
        <w:gridCol w:w="1346"/>
        <w:gridCol w:w="875"/>
        <w:gridCol w:w="925"/>
        <w:gridCol w:w="882"/>
        <w:gridCol w:w="7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2649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Наименование объекта</w:t>
            </w:r>
          </w:p>
        </w:tc>
        <w:tc>
          <w:tcPr>
            <w:tcW w:w="1499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Количество 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пожаров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%,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+/-</w:t>
            </w:r>
          </w:p>
        </w:tc>
        <w:tc>
          <w:tcPr>
            <w:tcW w:w="1346" w:type="dxa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Ущерб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в 2021 году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1800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Гибель</w:t>
            </w:r>
          </w:p>
        </w:tc>
        <w:tc>
          <w:tcPr>
            <w:tcW w:w="1676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Травмы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2649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2020 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2021 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346" w:type="dxa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87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9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26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Садовый дом, дача и т.д.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</w:t>
            </w:r>
          </w:p>
        </w:tc>
        <w:tc>
          <w:tcPr>
            <w:tcW w:w="134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7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26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Вагончик для жилья, дом мобильного типа, палатка и др. строение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</w:t>
            </w:r>
          </w:p>
        </w:tc>
        <w:tc>
          <w:tcPr>
            <w:tcW w:w="134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7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26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Надворная постройка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+100%:</w:t>
            </w:r>
          </w:p>
        </w:tc>
        <w:tc>
          <w:tcPr>
            <w:tcW w:w="134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7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Одноквартирный жилой дом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0%</w:t>
            </w:r>
          </w:p>
        </w:tc>
        <w:tc>
          <w:tcPr>
            <w:tcW w:w="134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7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Многоквартирный жилой дом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</w:t>
            </w:r>
          </w:p>
        </w:tc>
        <w:tc>
          <w:tcPr>
            <w:tcW w:w="134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7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Гараж, тент-укрытие, в т.ч. ГСК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</w:t>
            </w:r>
          </w:p>
        </w:tc>
        <w:tc>
          <w:tcPr>
            <w:tcW w:w="134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7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Баня, сауна на тер-ии домовладения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-в 3р.</w:t>
            </w:r>
          </w:p>
        </w:tc>
        <w:tc>
          <w:tcPr>
            <w:tcW w:w="134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7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Прочие здания, постройки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</w:t>
            </w:r>
          </w:p>
        </w:tc>
        <w:tc>
          <w:tcPr>
            <w:tcW w:w="134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7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ИТОГО: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+в 2 р.</w:t>
            </w:r>
          </w:p>
        </w:tc>
        <w:tc>
          <w:tcPr>
            <w:tcW w:w="134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87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9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</w:tr>
    </w:tbl>
    <w:p>
      <w:pPr>
        <w:jc w:val="both"/>
        <w:rPr>
          <w:b/>
          <w:bCs/>
          <w:iCs/>
        </w:rPr>
      </w:pPr>
    </w:p>
    <w:p>
      <w:pPr>
        <w:ind w:firstLine="708"/>
        <w:jc w:val="both"/>
        <w:rPr>
          <w:b/>
          <w:iCs/>
        </w:rPr>
      </w:pPr>
      <w:r>
        <w:rPr>
          <w:b/>
          <w:bCs/>
          <w:iCs/>
        </w:rPr>
        <w:t xml:space="preserve">Диаграмма 10: </w:t>
      </w:r>
      <w:r>
        <w:rPr>
          <w:b/>
          <w:iCs/>
        </w:rPr>
        <w:t xml:space="preserve">Распределение пожаров на объектах жилого сектора (количество пожаров и % доли от общего количества пожаров в жилье) </w:t>
      </w:r>
    </w:p>
    <w:p>
      <w:pPr>
        <w:ind w:firstLine="709"/>
        <w:jc w:val="both"/>
        <w:rPr>
          <w:sz w:val="26"/>
          <w:szCs w:val="26"/>
        </w:rPr>
      </w:pPr>
    </w:p>
    <w:p>
      <w:pPr>
        <w:ind w:firstLine="993"/>
        <w:rPr>
          <w:b/>
          <w:bCs/>
          <w:iCs/>
          <w:sz w:val="26"/>
          <w:szCs w:val="26"/>
        </w:rPr>
      </w:pPr>
      <w:r>
        <w:rPr>
          <w:rFonts w:eastAsia="MS Mincho"/>
          <w:b/>
          <w:bCs/>
          <w:sz w:val="26"/>
          <w:szCs w:val="26"/>
          <w:shd w:val="clear" w:color="auto" w:fill="FFFF00"/>
        </w:rPr>
        <w:drawing>
          <wp:inline distT="0" distB="0" distL="0" distR="0">
            <wp:extent cx="4765040" cy="2007870"/>
            <wp:effectExtent l="19050" t="0" r="16329" b="0"/>
            <wp:docPr id="284" name="Диаграмма 3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p>
      <w:pPr>
        <w:ind w:firstLine="708"/>
        <w:jc w:val="both"/>
        <w:rPr>
          <w:b/>
          <w:iCs/>
        </w:rPr>
      </w:pPr>
    </w:p>
    <w:p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Основными объектами пожаров в жилом секторе явились:</w:t>
      </w: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многоквартирный жилой дом – 2 пожара (25% от общего количества пожаров жилого сектора);</w:t>
      </w: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баня на территории домовладений – 1 пожар (12,5 % от общего количества пожаров жилого сектора);</w:t>
      </w: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одноквартирный жилой дом – 1 пожар (12,5% от общего количества пожаров жилого сектора)</w:t>
      </w: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надворная постройка – 4 пожара (50% от общего количества пожаров жилого сектора).</w:t>
      </w:r>
    </w:p>
    <w:p>
      <w:pPr>
        <w:ind w:firstLine="720"/>
        <w:jc w:val="both"/>
        <w:rPr>
          <w:sz w:val="26"/>
          <w:szCs w:val="26"/>
        </w:rPr>
      </w:pPr>
    </w:p>
    <w:p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Распределение количества пожаров по местам их возникновения </w:t>
      </w:r>
    </w:p>
    <w:p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на объектах жилого сектора</w:t>
      </w:r>
    </w:p>
    <w:p>
      <w:pPr>
        <w:ind w:left="283" w:firstLine="720"/>
        <w:jc w:val="right"/>
        <w:rPr>
          <w:sz w:val="26"/>
          <w:szCs w:val="26"/>
        </w:rPr>
      </w:pPr>
      <w:r>
        <w:rPr>
          <w:sz w:val="26"/>
          <w:szCs w:val="26"/>
        </w:rPr>
        <w:t>Таблица 9</w:t>
      </w:r>
    </w:p>
    <w:tbl>
      <w:tblPr>
        <w:tblStyle w:val="7"/>
        <w:tblW w:w="9864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0"/>
        <w:gridCol w:w="2290"/>
        <w:gridCol w:w="1189"/>
        <w:gridCol w:w="1637"/>
        <w:gridCol w:w="2138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9" w:hRule="atLeast"/>
        </w:trPr>
        <w:tc>
          <w:tcPr>
            <w:tcW w:w="2610" w:type="dxa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Объект пожара</w:t>
            </w: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Место возникновения пожара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Кол-во пожаров</w:t>
            </w:r>
          </w:p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2020 г.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Кол-во пожаров</w:t>
            </w:r>
          </w:p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2021 г.</w:t>
            </w:r>
          </w:p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CCCCCC"/>
          </w:tcPr>
          <w:p>
            <w:pPr>
              <w:pStyle w:val="16"/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+/-%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2610" w:type="dxa"/>
            <w:vMerge w:val="restart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Многоквартирный жилой дом</w:t>
            </w: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коридор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2610" w:type="dxa"/>
            <w:vMerge w:val="continue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комната, жилое, спальное помещение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2610" w:type="dxa"/>
            <w:vMerge w:val="restart"/>
            <w:tcBorders>
              <w:top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Одноквартирный жилой дом</w:t>
            </w: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Ванна, душевая, туалет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2610" w:type="dxa"/>
            <w:vMerge w:val="continue"/>
            <w:tcBorders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pStyle w:val="16"/>
              <w:ind w:left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Комната, жилое помещение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610" w:type="dxa"/>
            <w:tcBorders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Надворная постройка</w:t>
            </w: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прочие помещения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610" w:type="dxa"/>
            <w:vMerge w:val="restart"/>
            <w:tcBorders>
              <w:top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Баня, сауна на территории домовладения</w:t>
            </w: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сауна, парилка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610" w:type="dxa"/>
            <w:vMerge w:val="continue"/>
            <w:tcBorders>
              <w:top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Пристрой к зданию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610" w:type="dxa"/>
            <w:vMerge w:val="continue"/>
            <w:tcBorders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29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прочие помещения</w:t>
            </w: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+100%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4900" w:type="dxa"/>
            <w:gridSpan w:val="2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CCCCCC"/>
          </w:tcPr>
          <w:p>
            <w:pPr>
              <w:pStyle w:val="16"/>
              <w:ind w:left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Всего</w:t>
            </w:r>
          </w:p>
          <w:p>
            <w:pPr>
              <w:pStyle w:val="16"/>
              <w:ind w:left="0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18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4</w:t>
            </w:r>
          </w:p>
        </w:tc>
        <w:tc>
          <w:tcPr>
            <w:tcW w:w="16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8</w:t>
            </w:r>
          </w:p>
        </w:tc>
        <w:tc>
          <w:tcPr>
            <w:tcW w:w="21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ind w:lef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+ в 2 р.</w:t>
            </w:r>
          </w:p>
        </w:tc>
      </w:tr>
    </w:tbl>
    <w:p>
      <w:pPr>
        <w:rPr>
          <w:b/>
          <w:bCs/>
          <w:sz w:val="26"/>
          <w:szCs w:val="26"/>
        </w:rPr>
      </w:pPr>
    </w:p>
    <w:p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Распределение количества пожаров в жилом секторе </w:t>
      </w:r>
    </w:p>
    <w:p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по их причинам возникновения</w:t>
      </w:r>
    </w:p>
    <w:p>
      <w:pPr>
        <w:keepNext/>
        <w:jc w:val="right"/>
        <w:outlineLvl w:val="1"/>
        <w:rPr>
          <w:sz w:val="26"/>
          <w:szCs w:val="26"/>
        </w:rPr>
      </w:pPr>
      <w:r>
        <w:rPr>
          <w:sz w:val="26"/>
          <w:szCs w:val="26"/>
        </w:rPr>
        <w:t>Таблица 10</w:t>
      </w:r>
    </w:p>
    <w:tbl>
      <w:tblPr>
        <w:tblStyle w:val="7"/>
        <w:tblW w:w="4961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3"/>
        <w:gridCol w:w="777"/>
        <w:gridCol w:w="714"/>
        <w:gridCol w:w="1344"/>
        <w:gridCol w:w="1596"/>
        <w:gridCol w:w="775"/>
        <w:gridCol w:w="823"/>
        <w:gridCol w:w="704"/>
        <w:gridCol w:w="71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299" w:type="pct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Причина пожара</w:t>
            </w:r>
          </w:p>
        </w:tc>
        <w:tc>
          <w:tcPr>
            <w:tcW w:w="741" w:type="pct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Количество пожаров </w:t>
            </w:r>
          </w:p>
        </w:tc>
        <w:tc>
          <w:tcPr>
            <w:tcW w:w="668" w:type="pct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793" w:type="pc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Ущерб в 2021 году </w:t>
            </w:r>
          </w:p>
        </w:tc>
        <w:tc>
          <w:tcPr>
            <w:tcW w:w="794" w:type="pct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Гибель </w:t>
            </w:r>
          </w:p>
        </w:tc>
        <w:tc>
          <w:tcPr>
            <w:tcW w:w="705" w:type="pct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Травмы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tblHeader/>
          <w:jc w:val="center"/>
        </w:trPr>
        <w:tc>
          <w:tcPr>
            <w:tcW w:w="1299" w:type="pct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</w:pPr>
          </w:p>
        </w:tc>
        <w:tc>
          <w:tcPr>
            <w:tcW w:w="38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2020 </w:t>
            </w:r>
          </w:p>
        </w:tc>
        <w:tc>
          <w:tcPr>
            <w:tcW w:w="355" w:type="pct"/>
            <w:tcBorders>
              <w:top w:val="double" w:color="auto" w:sz="4" w:space="0"/>
              <w:left w:val="single" w:color="auto" w:sz="6" w:space="0"/>
              <w:bottom w:val="double" w:color="auto" w:sz="4" w:space="0"/>
              <w:right w:val="double" w:color="auto" w:sz="4" w:space="0"/>
            </w:tcBorders>
            <w:shd w:val="clear" w:color="auto" w:fill="D9D9D9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668" w:type="pct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</w:rPr>
            </w:pPr>
          </w:p>
        </w:tc>
        <w:tc>
          <w:tcPr>
            <w:tcW w:w="793" w:type="pct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2020 </w:t>
            </w:r>
          </w:p>
        </w:tc>
        <w:tc>
          <w:tcPr>
            <w:tcW w:w="409" w:type="pct"/>
            <w:tcBorders>
              <w:top w:val="double" w:color="auto" w:sz="4" w:space="0"/>
              <w:left w:val="single" w:color="auto" w:sz="6" w:space="0"/>
              <w:bottom w:val="double" w:color="auto" w:sz="4" w:space="0"/>
              <w:right w:val="double" w:color="auto" w:sz="4" w:space="0"/>
            </w:tcBorders>
            <w:shd w:val="clear" w:color="auto" w:fill="D9D9D9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2021 </w:t>
            </w:r>
          </w:p>
        </w:tc>
        <w:tc>
          <w:tcPr>
            <w:tcW w:w="35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  <w:p>
            <w:pPr>
              <w:jc w:val="center"/>
              <w:rPr>
                <w:b/>
              </w:rPr>
            </w:pPr>
          </w:p>
        </w:tc>
        <w:tc>
          <w:tcPr>
            <w:tcW w:w="355" w:type="pct"/>
            <w:tcBorders>
              <w:top w:val="double" w:color="auto" w:sz="4" w:space="0"/>
              <w:left w:val="single" w:color="auto" w:sz="6" w:space="0"/>
              <w:bottom w:val="double" w:color="auto" w:sz="4" w:space="0"/>
              <w:right w:val="double" w:color="auto" w:sz="4" w:space="0"/>
            </w:tcBorders>
            <w:shd w:val="clear" w:color="auto" w:fill="D9D9D9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Нарушение правил устройства и эксплуатации электрооборудования</w:t>
            </w:r>
          </w:p>
        </w:tc>
        <w:tc>
          <w:tcPr>
            <w:tcW w:w="38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6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+в 5р.</w:t>
            </w:r>
          </w:p>
        </w:tc>
        <w:tc>
          <w:tcPr>
            <w:tcW w:w="793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</w:pPr>
            <w: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Нарушение правил устройства и эксплуатации печей</w:t>
            </w:r>
          </w:p>
        </w:tc>
        <w:tc>
          <w:tcPr>
            <w:tcW w:w="38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6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-в 2р.</w:t>
            </w:r>
          </w:p>
        </w:tc>
        <w:tc>
          <w:tcPr>
            <w:tcW w:w="793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</w:pPr>
            <w: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Неосторожное обращение с огнём</w:t>
            </w:r>
          </w:p>
        </w:tc>
        <w:tc>
          <w:tcPr>
            <w:tcW w:w="38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6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-100%</w:t>
            </w:r>
          </w:p>
        </w:tc>
        <w:tc>
          <w:tcPr>
            <w:tcW w:w="793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</w:pPr>
            <w: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Нарушение правил устройства и эксплуатации газового оборудования</w:t>
            </w:r>
          </w:p>
        </w:tc>
        <w:tc>
          <w:tcPr>
            <w:tcW w:w="38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6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</w:t>
            </w:r>
          </w:p>
        </w:tc>
        <w:tc>
          <w:tcPr>
            <w:tcW w:w="793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</w:pPr>
            <w: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Другие причины</w:t>
            </w:r>
          </w:p>
        </w:tc>
        <w:tc>
          <w:tcPr>
            <w:tcW w:w="38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6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</w:t>
            </w:r>
          </w:p>
        </w:tc>
        <w:tc>
          <w:tcPr>
            <w:tcW w:w="793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</w:pPr>
            <w: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ИТОГО:</w:t>
            </w:r>
          </w:p>
        </w:tc>
        <w:tc>
          <w:tcPr>
            <w:tcW w:w="38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66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+в 2 р.</w:t>
            </w:r>
          </w:p>
        </w:tc>
        <w:tc>
          <w:tcPr>
            <w:tcW w:w="793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40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5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>
      <w:pPr>
        <w:jc w:val="both"/>
        <w:rPr>
          <w:b/>
          <w:iCs/>
        </w:rPr>
      </w:pPr>
    </w:p>
    <w:p>
      <w:pPr>
        <w:jc w:val="center"/>
        <w:rPr>
          <w:b/>
          <w:bCs/>
          <w:iCs/>
        </w:rPr>
      </w:pPr>
      <w:r>
        <w:rPr>
          <w:b/>
          <w:sz w:val="26"/>
          <w:szCs w:val="26"/>
        </w:rPr>
        <w:t>Анализ пожаров, произошедших на транспортных средствах</w:t>
      </w:r>
    </w:p>
    <w:p>
      <w:pPr>
        <w:ind w:firstLine="708"/>
        <w:jc w:val="both"/>
        <w:rPr>
          <w:b/>
          <w:bCs/>
          <w:iCs/>
        </w:rPr>
      </w:pP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 январь, февраль 2021 года оперативная обстановка с пожарами на объектах транспорта в Ханты-Мансийском районе характеризовалась следующими основными показателями: </w:t>
      </w: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зарегистрировано 9 пожаров (АППГ – 0; +100%); </w:t>
      </w: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гибель людей не допущена (АППГ – 0 чел.);</w:t>
      </w: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травмирован 1 человек (АППГ – 0 чел.; +100%);</w:t>
      </w: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материальный ущерб составил 4 800 893 (АППГ – 0 руб.; +100%).</w:t>
      </w:r>
    </w:p>
    <w:p>
      <w:pPr>
        <w:jc w:val="both"/>
        <w:rPr>
          <w:b/>
          <w:bCs/>
          <w:iCs/>
        </w:rPr>
      </w:pPr>
    </w:p>
    <w:p>
      <w:pPr>
        <w:ind w:firstLine="708"/>
        <w:jc w:val="both"/>
        <w:rPr>
          <w:b/>
          <w:iCs/>
        </w:rPr>
      </w:pPr>
      <w:r>
        <w:rPr>
          <w:b/>
          <w:bCs/>
          <w:iCs/>
        </w:rPr>
        <w:t xml:space="preserve">Диаграмма 11: </w:t>
      </w:r>
      <w:r>
        <w:rPr>
          <w:b/>
          <w:iCs/>
        </w:rPr>
        <w:t xml:space="preserve">Пожары и их последствия, произошедшие на объектах транспорта </w:t>
      </w:r>
    </w:p>
    <w:p>
      <w:pPr>
        <w:ind w:firstLine="708"/>
        <w:jc w:val="both"/>
        <w:rPr>
          <w:b/>
          <w:iCs/>
        </w:rPr>
      </w:pPr>
    </w:p>
    <w:p>
      <w:pPr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1039495</wp:posOffset>
            </wp:positionV>
            <wp:extent cx="1297940" cy="313690"/>
            <wp:effectExtent l="19050" t="0" r="0" b="0"/>
            <wp:wrapNone/>
            <wp:docPr id="20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9" r:lo="rId150" r:qs="rId151" r:cs="rId152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391160</wp:posOffset>
            </wp:positionV>
            <wp:extent cx="1297940" cy="313690"/>
            <wp:effectExtent l="19050" t="0" r="0" b="0"/>
            <wp:wrapNone/>
            <wp:docPr id="18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4" r:lo="rId155" r:qs="rId156" r:cs="rId157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510540</wp:posOffset>
            </wp:positionV>
            <wp:extent cx="1296035" cy="313690"/>
            <wp:effectExtent l="19050" t="0" r="0" b="0"/>
            <wp:wrapNone/>
            <wp:docPr id="42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9" r:lo="rId160" r:qs="rId161" r:cs="rId162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1146175</wp:posOffset>
            </wp:positionV>
            <wp:extent cx="1118870" cy="306705"/>
            <wp:effectExtent l="0" t="0" r="0" b="0"/>
            <wp:wrapNone/>
            <wp:docPr id="51" name="Схема 3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4" r:lo="rId165" r:qs="rId166" r:cs="rId167"/>
              </a:graphicData>
            </a:graphic>
          </wp:anchor>
        </w:drawing>
      </w:r>
      <w:r>
        <w:rPr>
          <w:color w:val="FF0000"/>
          <w:sz w:val="26"/>
          <w:szCs w:val="26"/>
        </w:rPr>
        <w:drawing>
          <wp:inline distT="0" distB="0" distL="0" distR="0">
            <wp:extent cx="5853430" cy="2002790"/>
            <wp:effectExtent l="19050" t="0" r="13607" b="0"/>
            <wp:docPr id="53" name="Диаграмма 3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9"/>
              </a:graphicData>
            </a:graphic>
          </wp:inline>
        </w:drawing>
      </w:r>
    </w:p>
    <w:p>
      <w:pPr>
        <w:rPr>
          <w:b/>
          <w:sz w:val="26"/>
          <w:szCs w:val="26"/>
        </w:rPr>
      </w:pPr>
    </w:p>
    <w:p>
      <w:pPr>
        <w:ind w:firstLine="7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Пожары на объектах транспорта</w:t>
      </w:r>
    </w:p>
    <w:p>
      <w:pPr>
        <w:keepNext/>
        <w:jc w:val="right"/>
        <w:outlineLvl w:val="1"/>
        <w:rPr>
          <w:sz w:val="26"/>
          <w:szCs w:val="26"/>
        </w:rPr>
      </w:pPr>
      <w:r>
        <w:rPr>
          <w:sz w:val="26"/>
          <w:szCs w:val="26"/>
        </w:rPr>
        <w:t>Таблица 11</w:t>
      </w:r>
    </w:p>
    <w:tbl>
      <w:tblPr>
        <w:tblStyle w:val="7"/>
        <w:tblW w:w="10226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3"/>
        <w:gridCol w:w="752"/>
        <w:gridCol w:w="747"/>
        <w:gridCol w:w="1153"/>
        <w:gridCol w:w="1449"/>
        <w:gridCol w:w="1078"/>
        <w:gridCol w:w="807"/>
        <w:gridCol w:w="838"/>
        <w:gridCol w:w="812"/>
        <w:gridCol w:w="75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833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Наименование объекта</w:t>
            </w:r>
          </w:p>
        </w:tc>
        <w:tc>
          <w:tcPr>
            <w:tcW w:w="1499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Количество 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пожаров</w:t>
            </w:r>
          </w:p>
        </w:tc>
        <w:tc>
          <w:tcPr>
            <w:tcW w:w="115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%,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+/-</w:t>
            </w:r>
          </w:p>
        </w:tc>
        <w:tc>
          <w:tcPr>
            <w:tcW w:w="1449" w:type="dxa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% от общего кол-ва пожаров на транспорте</w:t>
            </w:r>
          </w:p>
        </w:tc>
        <w:tc>
          <w:tcPr>
            <w:tcW w:w="1078" w:type="dxa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Ущерб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в 2021 году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1645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Гибель</w:t>
            </w:r>
          </w:p>
        </w:tc>
        <w:tc>
          <w:tcPr>
            <w:tcW w:w="1569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Травмы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833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75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2020 </w:t>
            </w:r>
          </w:p>
        </w:tc>
        <w:tc>
          <w:tcPr>
            <w:tcW w:w="74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2021 </w:t>
            </w:r>
          </w:p>
        </w:tc>
        <w:tc>
          <w:tcPr>
            <w:tcW w:w="115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449" w:type="dxa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</w:p>
        </w:tc>
        <w:tc>
          <w:tcPr>
            <w:tcW w:w="1078" w:type="dxa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80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8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81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75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83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Грузовой автомобиль</w:t>
            </w:r>
          </w:p>
        </w:tc>
        <w:tc>
          <w:tcPr>
            <w:tcW w:w="75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5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</w:t>
            </w:r>
          </w:p>
        </w:tc>
        <w:tc>
          <w:tcPr>
            <w:tcW w:w="14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44,4%</w:t>
            </w:r>
          </w:p>
        </w:tc>
        <w:tc>
          <w:tcPr>
            <w:tcW w:w="107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4300893</w:t>
            </w:r>
          </w:p>
        </w:tc>
        <w:tc>
          <w:tcPr>
            <w:tcW w:w="80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8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81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75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83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Легковой автомобиль</w:t>
            </w:r>
          </w:p>
        </w:tc>
        <w:tc>
          <w:tcPr>
            <w:tcW w:w="75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5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</w:t>
            </w:r>
          </w:p>
        </w:tc>
        <w:tc>
          <w:tcPr>
            <w:tcW w:w="14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22,2%</w:t>
            </w:r>
          </w:p>
        </w:tc>
        <w:tc>
          <w:tcPr>
            <w:tcW w:w="107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80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8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81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75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83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Трактор</w:t>
            </w:r>
          </w:p>
        </w:tc>
        <w:tc>
          <w:tcPr>
            <w:tcW w:w="75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5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</w:t>
            </w:r>
          </w:p>
        </w:tc>
        <w:tc>
          <w:tcPr>
            <w:tcW w:w="14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11,1%</w:t>
            </w:r>
          </w:p>
        </w:tc>
        <w:tc>
          <w:tcPr>
            <w:tcW w:w="107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80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8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81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75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83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Специальная техника</w:t>
            </w:r>
          </w:p>
        </w:tc>
        <w:tc>
          <w:tcPr>
            <w:tcW w:w="75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5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</w:t>
            </w:r>
          </w:p>
        </w:tc>
        <w:tc>
          <w:tcPr>
            <w:tcW w:w="14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22,2%</w:t>
            </w:r>
          </w:p>
        </w:tc>
        <w:tc>
          <w:tcPr>
            <w:tcW w:w="107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500000</w:t>
            </w:r>
          </w:p>
        </w:tc>
        <w:tc>
          <w:tcPr>
            <w:tcW w:w="80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8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81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75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ИТОГО:</w:t>
            </w:r>
          </w:p>
        </w:tc>
        <w:tc>
          <w:tcPr>
            <w:tcW w:w="75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74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115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+100%</w:t>
            </w:r>
          </w:p>
        </w:tc>
        <w:tc>
          <w:tcPr>
            <w:tcW w:w="14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100%</w:t>
            </w:r>
          </w:p>
        </w:tc>
        <w:tc>
          <w:tcPr>
            <w:tcW w:w="107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0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3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1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5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</w:tbl>
    <w:p>
      <w:pPr>
        <w:rPr>
          <w:sz w:val="26"/>
          <w:szCs w:val="26"/>
        </w:rPr>
      </w:pPr>
    </w:p>
    <w:p>
      <w:pPr>
        <w:ind w:left="284" w:firstLine="720"/>
        <w:jc w:val="both"/>
        <w:rPr>
          <w:sz w:val="26"/>
          <w:szCs w:val="26"/>
        </w:rPr>
      </w:pPr>
      <w:r>
        <w:rPr>
          <w:sz w:val="26"/>
          <w:szCs w:val="26"/>
        </w:rPr>
        <w:t>Из представленной таблицы, видно, что основными объектами пожаров на транспорте, явились:</w:t>
      </w:r>
    </w:p>
    <w:p>
      <w:pPr>
        <w:ind w:left="284" w:firstLine="720"/>
        <w:jc w:val="both"/>
        <w:rPr>
          <w:sz w:val="26"/>
          <w:szCs w:val="26"/>
        </w:rPr>
      </w:pPr>
      <w:r>
        <w:rPr>
          <w:sz w:val="26"/>
          <w:szCs w:val="26"/>
        </w:rPr>
        <w:t>– специальная техника – 2 пожара (22,2% от общего количества пожаров на транспорте);</w:t>
      </w:r>
    </w:p>
    <w:p>
      <w:pPr>
        <w:ind w:left="284" w:firstLine="720"/>
        <w:jc w:val="both"/>
        <w:rPr>
          <w:sz w:val="26"/>
          <w:szCs w:val="26"/>
        </w:rPr>
      </w:pPr>
      <w:r>
        <w:rPr>
          <w:sz w:val="26"/>
          <w:szCs w:val="26"/>
        </w:rPr>
        <w:t>– легковой автомобиль – 2 пожара (22,2% от общего количества пожаров на транспорте);</w:t>
      </w:r>
    </w:p>
    <w:p>
      <w:pPr>
        <w:ind w:left="284" w:firstLine="720"/>
        <w:jc w:val="both"/>
        <w:rPr>
          <w:sz w:val="26"/>
          <w:szCs w:val="26"/>
        </w:rPr>
      </w:pPr>
      <w:r>
        <w:rPr>
          <w:sz w:val="26"/>
          <w:szCs w:val="26"/>
        </w:rPr>
        <w:t>– грузовые автомобили – 4 пожара (44,4% от общего количества пожаров на транспорте);</w:t>
      </w:r>
    </w:p>
    <w:p>
      <w:pPr>
        <w:ind w:left="284" w:firstLine="720"/>
        <w:jc w:val="both"/>
        <w:rPr>
          <w:sz w:val="26"/>
          <w:szCs w:val="26"/>
        </w:rPr>
      </w:pPr>
      <w:r>
        <w:rPr>
          <w:sz w:val="26"/>
          <w:szCs w:val="26"/>
        </w:rPr>
        <w:t>– трактор – 1 пожар (11,1% от общего количества пожаров на транспорте).</w:t>
      </w:r>
    </w:p>
    <w:p>
      <w:pPr>
        <w:ind w:left="284" w:firstLine="720"/>
        <w:jc w:val="both"/>
        <w:rPr>
          <w:sz w:val="26"/>
          <w:szCs w:val="26"/>
        </w:rPr>
      </w:pPr>
    </w:p>
    <w:p>
      <w:pPr>
        <w:ind w:firstLine="567"/>
        <w:jc w:val="both"/>
        <w:rPr>
          <w:b/>
          <w:iCs/>
        </w:rPr>
      </w:pPr>
      <w:r>
        <w:rPr>
          <w:b/>
          <w:bCs/>
          <w:iCs/>
        </w:rPr>
        <w:t xml:space="preserve">Диаграмма 12: </w:t>
      </w:r>
      <w:r>
        <w:rPr>
          <w:b/>
          <w:iCs/>
        </w:rPr>
        <w:t>Распределение пожаров на объектах транспорта по их причинам возникновения (количество пожаров и % доли)</w:t>
      </w:r>
    </w:p>
    <w:p>
      <w:pPr>
        <w:ind w:firstLine="567"/>
        <w:jc w:val="both"/>
        <w:rPr>
          <w:b/>
          <w:iCs/>
        </w:rPr>
      </w:pPr>
    </w:p>
    <w:p>
      <w:pPr>
        <w:ind w:left="567" w:firstLine="284"/>
        <w:rPr>
          <w:b/>
          <w:bCs/>
          <w:iCs/>
          <w:sz w:val="26"/>
          <w:szCs w:val="26"/>
        </w:rPr>
      </w:pPr>
      <w:r>
        <w:rPr>
          <w:rFonts w:eastAsia="MS Mincho"/>
          <w:b/>
          <w:bCs/>
          <w:sz w:val="26"/>
          <w:szCs w:val="26"/>
        </w:rPr>
        <w:drawing>
          <wp:inline distT="0" distB="0" distL="0" distR="0">
            <wp:extent cx="5102225" cy="2030095"/>
            <wp:effectExtent l="19050" t="0" r="21772" b="8164"/>
            <wp:docPr id="199" name="Диаграмма 3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</w:p>
    <w:p>
      <w:pPr>
        <w:jc w:val="both"/>
        <w:rPr>
          <w:sz w:val="26"/>
          <w:szCs w:val="26"/>
        </w:rPr>
      </w:pPr>
    </w:p>
    <w:p>
      <w:pPr>
        <w:rPr>
          <w:b/>
          <w:sz w:val="26"/>
          <w:szCs w:val="26"/>
        </w:rPr>
      </w:pPr>
    </w:p>
    <w:p>
      <w:pPr>
        <w:jc w:val="center"/>
        <w:rPr>
          <w:b/>
          <w:bCs/>
          <w:iCs/>
        </w:rPr>
      </w:pPr>
      <w:r>
        <w:rPr>
          <w:b/>
          <w:sz w:val="26"/>
          <w:szCs w:val="26"/>
        </w:rPr>
        <w:t>Анализ пожаров на территории садоводческих (огороднических) некоммерческих товариществ Ханты-Мансийского района</w:t>
      </w:r>
    </w:p>
    <w:p>
      <w:pPr>
        <w:ind w:firstLine="708"/>
        <w:jc w:val="both"/>
        <w:rPr>
          <w:b/>
          <w:bCs/>
          <w:iCs/>
        </w:rPr>
      </w:pPr>
    </w:p>
    <w:p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За январь, февраль 2021 года на территории садоводческих (огороднических) некоммерческих товариществ Ханты-Мансийского района зарегистрировано 4 пожара без последствий. За аналогичный период прошлого года пожаров не зарегистрировано.</w:t>
      </w:r>
    </w:p>
    <w:p>
      <w:pPr>
        <w:jc w:val="both"/>
        <w:rPr>
          <w:sz w:val="26"/>
          <w:szCs w:val="26"/>
        </w:rPr>
      </w:pPr>
    </w:p>
    <w:p>
      <w:pPr>
        <w:ind w:firstLine="708"/>
        <w:jc w:val="both"/>
        <w:rPr>
          <w:sz w:val="26"/>
          <w:szCs w:val="26"/>
        </w:rPr>
      </w:pPr>
      <w:r>
        <w:rPr>
          <w:b/>
          <w:bCs/>
          <w:iCs/>
        </w:rPr>
        <w:t xml:space="preserve">Диаграмма 13: </w:t>
      </w:r>
      <w:r>
        <w:rPr>
          <w:b/>
          <w:iCs/>
        </w:rPr>
        <w:t xml:space="preserve">Пожары и их последствия, произошедшие в </w:t>
      </w:r>
      <w:r>
        <w:rPr>
          <w:b/>
          <w:sz w:val="26"/>
          <w:szCs w:val="26"/>
        </w:rPr>
        <w:t xml:space="preserve">садоводческих (огороднических) некоммерческих товариществах </w:t>
      </w:r>
    </w:p>
    <w:p>
      <w:pPr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933450</wp:posOffset>
            </wp:positionV>
            <wp:extent cx="1118870" cy="293370"/>
            <wp:effectExtent l="0" t="0" r="0" b="0"/>
            <wp:wrapNone/>
            <wp:docPr id="19" name="Схема 3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1" r:lo="rId172" r:qs="rId173" r:cs="rId174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920115</wp:posOffset>
            </wp:positionV>
            <wp:extent cx="1296035" cy="313690"/>
            <wp:effectExtent l="19050" t="0" r="0" b="0"/>
            <wp:wrapNone/>
            <wp:docPr id="1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6" r:lo="rId177" r:qs="rId178" r:cs="rId179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931545</wp:posOffset>
            </wp:positionV>
            <wp:extent cx="1262380" cy="313690"/>
            <wp:effectExtent l="0" t="0" r="0" b="0"/>
            <wp:wrapNone/>
            <wp:docPr id="2" name="Схема 3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1" r:lo="rId182" r:qs="rId183" r:cs="rId184"/>
              </a:graphicData>
            </a:graphic>
          </wp:anchor>
        </w:drawing>
      </w:r>
      <w:r>
        <w:rPr>
          <w:sz w:val="26"/>
          <w:szCs w:val="2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4322445</wp:posOffset>
            </wp:positionH>
            <wp:positionV relativeFrom="paragraph">
              <wp:posOffset>939165</wp:posOffset>
            </wp:positionV>
            <wp:extent cx="784860" cy="300355"/>
            <wp:effectExtent l="0" t="0" r="0" b="4549"/>
            <wp:wrapNone/>
            <wp:docPr id="4" name="Схема 3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6" r:lo="rId187" r:qs="rId188" r:cs="rId189"/>
              </a:graphicData>
            </a:graphic>
          </wp:anchor>
        </w:drawing>
      </w:r>
      <w:r>
        <w:rPr>
          <w:color w:val="FF0000"/>
          <w:sz w:val="26"/>
          <w:szCs w:val="26"/>
        </w:rPr>
        <w:drawing>
          <wp:inline distT="0" distB="0" distL="0" distR="0">
            <wp:extent cx="6038850" cy="2272030"/>
            <wp:effectExtent l="19050" t="0" r="18765" b="0"/>
            <wp:docPr id="5" name="Диаграмма 3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1"/>
              </a:graphicData>
            </a:graphic>
          </wp:inline>
        </w:drawing>
      </w:r>
    </w:p>
    <w:p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Распределение количества пожаров по их объектам возникновения</w:t>
      </w:r>
    </w:p>
    <w:p>
      <w:pPr>
        <w:keepNext/>
        <w:jc w:val="right"/>
        <w:outlineLvl w:val="1"/>
        <w:rPr>
          <w:sz w:val="26"/>
          <w:szCs w:val="26"/>
        </w:rPr>
      </w:pPr>
      <w:r>
        <w:rPr>
          <w:sz w:val="26"/>
          <w:szCs w:val="26"/>
        </w:rPr>
        <w:t>Таблица 12</w:t>
      </w:r>
    </w:p>
    <w:tbl>
      <w:tblPr>
        <w:tblStyle w:val="7"/>
        <w:tblW w:w="10065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9"/>
        <w:gridCol w:w="762"/>
        <w:gridCol w:w="737"/>
        <w:gridCol w:w="1095"/>
        <w:gridCol w:w="1346"/>
        <w:gridCol w:w="875"/>
        <w:gridCol w:w="925"/>
        <w:gridCol w:w="882"/>
        <w:gridCol w:w="7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2649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Наименование объекта</w:t>
            </w:r>
          </w:p>
        </w:tc>
        <w:tc>
          <w:tcPr>
            <w:tcW w:w="1499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Количество 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пожаров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%,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+/-</w:t>
            </w:r>
          </w:p>
        </w:tc>
        <w:tc>
          <w:tcPr>
            <w:tcW w:w="1346" w:type="dxa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Ущерб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в 2021 году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1800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Гибель</w:t>
            </w:r>
          </w:p>
        </w:tc>
        <w:tc>
          <w:tcPr>
            <w:tcW w:w="1676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Травмы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2649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rPr>
                <w:b/>
              </w:rPr>
            </w:pP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2020 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2021 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346" w:type="dxa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87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9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26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Надворная постройка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+100%:</w:t>
            </w:r>
          </w:p>
        </w:tc>
        <w:tc>
          <w:tcPr>
            <w:tcW w:w="134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7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Баня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</w:t>
            </w:r>
          </w:p>
        </w:tc>
        <w:tc>
          <w:tcPr>
            <w:tcW w:w="134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7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Одноквартирный жилой дом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</w:t>
            </w:r>
          </w:p>
        </w:tc>
        <w:tc>
          <w:tcPr>
            <w:tcW w:w="134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7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Строящийся одноквартирный жилой дом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</w:t>
            </w:r>
          </w:p>
        </w:tc>
        <w:tc>
          <w:tcPr>
            <w:tcW w:w="134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7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4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ИТОГО:</w:t>
            </w:r>
          </w:p>
        </w:tc>
        <w:tc>
          <w:tcPr>
            <w:tcW w:w="76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73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09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+100%</w:t>
            </w:r>
          </w:p>
        </w:tc>
        <w:tc>
          <w:tcPr>
            <w:tcW w:w="134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87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9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88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79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</w:tr>
    </w:tbl>
    <w:p>
      <w:pPr>
        <w:jc w:val="center"/>
        <w:rPr>
          <w:b/>
          <w:bCs/>
          <w:sz w:val="26"/>
          <w:szCs w:val="26"/>
        </w:rPr>
      </w:pPr>
    </w:p>
    <w:p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Распределение количества пожаров по их причинам возникновения</w:t>
      </w:r>
    </w:p>
    <w:p>
      <w:pPr>
        <w:jc w:val="center"/>
        <w:rPr>
          <w:b/>
          <w:bCs/>
          <w:sz w:val="26"/>
          <w:szCs w:val="26"/>
        </w:rPr>
      </w:pPr>
    </w:p>
    <w:p>
      <w:pPr>
        <w:keepNext/>
        <w:jc w:val="right"/>
        <w:outlineLvl w:val="1"/>
        <w:rPr>
          <w:sz w:val="26"/>
          <w:szCs w:val="26"/>
        </w:rPr>
      </w:pPr>
      <w:r>
        <w:rPr>
          <w:sz w:val="26"/>
          <w:szCs w:val="26"/>
        </w:rPr>
        <w:t>Таблица 13</w:t>
      </w:r>
    </w:p>
    <w:tbl>
      <w:tblPr>
        <w:tblStyle w:val="7"/>
        <w:tblW w:w="4961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3"/>
        <w:gridCol w:w="777"/>
        <w:gridCol w:w="714"/>
        <w:gridCol w:w="1344"/>
        <w:gridCol w:w="1596"/>
        <w:gridCol w:w="775"/>
        <w:gridCol w:w="823"/>
        <w:gridCol w:w="704"/>
        <w:gridCol w:w="71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299" w:type="pct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Причина пожара</w:t>
            </w:r>
          </w:p>
        </w:tc>
        <w:tc>
          <w:tcPr>
            <w:tcW w:w="741" w:type="pct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Количество пожаров </w:t>
            </w:r>
          </w:p>
        </w:tc>
        <w:tc>
          <w:tcPr>
            <w:tcW w:w="668" w:type="pct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793" w:type="pc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Ущерб в 2021 году </w:t>
            </w:r>
          </w:p>
        </w:tc>
        <w:tc>
          <w:tcPr>
            <w:tcW w:w="794" w:type="pct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Гибель </w:t>
            </w:r>
          </w:p>
        </w:tc>
        <w:tc>
          <w:tcPr>
            <w:tcW w:w="705" w:type="pct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Травмы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tblHeader/>
          <w:jc w:val="center"/>
        </w:trPr>
        <w:tc>
          <w:tcPr>
            <w:tcW w:w="1299" w:type="pct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</w:pPr>
          </w:p>
        </w:tc>
        <w:tc>
          <w:tcPr>
            <w:tcW w:w="38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2020 </w:t>
            </w:r>
          </w:p>
        </w:tc>
        <w:tc>
          <w:tcPr>
            <w:tcW w:w="355" w:type="pct"/>
            <w:tcBorders>
              <w:top w:val="double" w:color="auto" w:sz="4" w:space="0"/>
              <w:left w:val="single" w:color="auto" w:sz="6" w:space="0"/>
              <w:bottom w:val="double" w:color="auto" w:sz="4" w:space="0"/>
              <w:right w:val="double" w:color="auto" w:sz="4" w:space="0"/>
            </w:tcBorders>
            <w:shd w:val="clear" w:color="auto" w:fill="D9D9D9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668" w:type="pct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</w:rPr>
            </w:pPr>
          </w:p>
        </w:tc>
        <w:tc>
          <w:tcPr>
            <w:tcW w:w="793" w:type="pct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2020 </w:t>
            </w:r>
          </w:p>
        </w:tc>
        <w:tc>
          <w:tcPr>
            <w:tcW w:w="409" w:type="pct"/>
            <w:tcBorders>
              <w:top w:val="double" w:color="auto" w:sz="4" w:space="0"/>
              <w:left w:val="single" w:color="auto" w:sz="6" w:space="0"/>
              <w:bottom w:val="double" w:color="auto" w:sz="4" w:space="0"/>
              <w:right w:val="double" w:color="auto" w:sz="4" w:space="0"/>
            </w:tcBorders>
            <w:shd w:val="clear" w:color="auto" w:fill="D9D9D9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2021 </w:t>
            </w:r>
          </w:p>
        </w:tc>
        <w:tc>
          <w:tcPr>
            <w:tcW w:w="35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  <w:p>
            <w:pPr>
              <w:jc w:val="center"/>
              <w:rPr>
                <w:b/>
              </w:rPr>
            </w:pPr>
          </w:p>
        </w:tc>
        <w:tc>
          <w:tcPr>
            <w:tcW w:w="355" w:type="pct"/>
            <w:tcBorders>
              <w:top w:val="double" w:color="auto" w:sz="4" w:space="0"/>
              <w:left w:val="single" w:color="auto" w:sz="6" w:space="0"/>
              <w:bottom w:val="double" w:color="auto" w:sz="4" w:space="0"/>
              <w:right w:val="double" w:color="auto" w:sz="4" w:space="0"/>
            </w:tcBorders>
            <w:shd w:val="clear" w:color="auto" w:fill="D9D9D9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Нарушение правил устройства и эксплуатации электрооборудования</w:t>
            </w:r>
          </w:p>
        </w:tc>
        <w:tc>
          <w:tcPr>
            <w:tcW w:w="38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6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</w:t>
            </w:r>
          </w:p>
        </w:tc>
        <w:tc>
          <w:tcPr>
            <w:tcW w:w="793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</w:pPr>
            <w: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Нарушение правил устройства и эксплуатации печей</w:t>
            </w:r>
          </w:p>
        </w:tc>
        <w:tc>
          <w:tcPr>
            <w:tcW w:w="38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6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</w:t>
            </w:r>
          </w:p>
        </w:tc>
        <w:tc>
          <w:tcPr>
            <w:tcW w:w="793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</w:pPr>
            <w: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Другие причины</w:t>
            </w:r>
          </w:p>
        </w:tc>
        <w:tc>
          <w:tcPr>
            <w:tcW w:w="38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6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+100%</w:t>
            </w:r>
          </w:p>
        </w:tc>
        <w:tc>
          <w:tcPr>
            <w:tcW w:w="793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</w:pPr>
            <w:r>
              <w:t>-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</w:pPr>
            <w: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bottom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ИТОГО:</w:t>
            </w:r>
          </w:p>
        </w:tc>
        <w:tc>
          <w:tcPr>
            <w:tcW w:w="386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668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+100%</w:t>
            </w:r>
          </w:p>
        </w:tc>
        <w:tc>
          <w:tcPr>
            <w:tcW w:w="793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8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409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50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55" w:type="pc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>
      <w:pPr>
        <w:rPr>
          <w:b/>
          <w:sz w:val="26"/>
          <w:szCs w:val="26"/>
        </w:rPr>
      </w:pPr>
    </w:p>
    <w:p>
      <w:pPr>
        <w:keepNext/>
        <w:outlineLvl w:val="1"/>
        <w:rPr>
          <w:b/>
          <w:bCs/>
          <w:iCs/>
        </w:rPr>
      </w:pPr>
    </w:p>
    <w:sectPr>
      <w:headerReference r:id="rId3" w:type="default"/>
      <w:footerReference r:id="rId4" w:type="default"/>
      <w:pgSz w:w="11906" w:h="16838"/>
      <w:pgMar w:top="426" w:right="849" w:bottom="1134" w:left="1134" w:header="0" w:footer="743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MS Mincho">
    <w:panose1 w:val="02020609040205080304"/>
    <w:charset w:val="80"/>
    <w:family w:val="modern"/>
    <w:pitch w:val="default"/>
    <w:sig w:usb0="E00002FF" w:usb1="6AC7FDFB" w:usb2="08000012" w:usb3="00000000" w:csb0="4002009F" w:csb1="DFD70000"/>
  </w:font>
  <w:font w:name="Gabriola">
    <w:panose1 w:val="04040605051002020D02"/>
    <w:charset w:val="00"/>
    <w:family w:val="swiss"/>
    <w:pitch w:val="fixed"/>
    <w:sig w:usb0="E00002EF" w:usb1="5000204B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right="360" w:firstLine="720"/>
      <w:jc w:val="center"/>
      <w:rPr>
        <w:rFonts w:ascii="Arial" w:hAnsi="Arial" w:cs="Arial"/>
        <w:b/>
        <w:bCs/>
        <w:color w:val="0000FF"/>
      </w:rPr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-226695</wp:posOffset>
              </wp:positionH>
              <wp:positionV relativeFrom="paragraph">
                <wp:posOffset>15875</wp:posOffset>
              </wp:positionV>
              <wp:extent cx="6705600" cy="548005"/>
              <wp:effectExtent l="5080" t="4445" r="13970" b="19050"/>
              <wp:wrapNone/>
              <wp:docPr id="28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05600" cy="54800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CC00"/>
                          </a:gs>
                          <a:gs pos="100000">
                            <a:srgbClr val="FF6600"/>
                          </a:gs>
                        </a:gsLst>
                        <a:lin ang="0" scaled="1"/>
                      </a:gradFill>
                      <a:ln w="3175">
                        <a:solidFill>
                          <a:srgbClr val="0000FF"/>
                        </a:solidFill>
                        <a:miter lim="800000"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26" o:spt="1" style="position:absolute;left:0pt;margin-left:-17.85pt;margin-top:1.25pt;height:43.15pt;width:528pt;z-index:-251655168;mso-width-relative:page;mso-height-relative:page;" fillcolor="#FFCC00" filled="t" stroked="t" coordsize="21600,21600" o:gfxdata="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6wJMVdQAAAAJAQAADwAAAAAAAAABACAAAAAiAAAAZHJzL2Rvd25yZXYueG1s&#10;UEsBAhQAFAAAAAgAh07iQPKZkYpuAgAABgUAAA4AAAAAAAAAAQAgAAAAIwEAAGRycy9lMm9Eb2Mu&#10;eG1sUEsFBgAAAAAGAAYAWQEAAAMGAAAAAA==&#10;">
              <v:fill type="gradient" on="t" color2="#FF6600" angle="90" focus="100%" focussize="0,0" rotate="t"/>
              <v:stroke weight="0.25pt" color="#0000FF" miterlimit="8" joinstyle="miter"/>
              <v:imagedata o:title=""/>
              <o:lock v:ext="edit" aspectratio="f"/>
            </v:rect>
          </w:pict>
        </mc:Fallback>
      </mc:AlternateContent>
    </w: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-15875</wp:posOffset>
          </wp:positionV>
          <wp:extent cx="393700" cy="574040"/>
          <wp:effectExtent l="0" t="0" r="6350" b="0"/>
          <wp:wrapNone/>
          <wp:docPr id="3" name="Рисунок 25" descr="жетон ГПН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5" descr="жетон ГПН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574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18"/>
      <w:framePr w:wrap="auto" w:vAnchor="text" w:hAnchor="page" w:x="10975" w:y="288"/>
      <w:rPr>
        <w:rStyle w:val="9"/>
        <w:b/>
        <w:bCs/>
        <w:color w:val="0000FF"/>
        <w:sz w:val="22"/>
        <w:szCs w:val="22"/>
      </w:rPr>
    </w:pPr>
    <w:r>
      <w:rPr>
        <w:rStyle w:val="9"/>
        <w:b/>
        <w:bCs/>
        <w:color w:val="0000FF"/>
        <w:sz w:val="22"/>
        <w:szCs w:val="22"/>
      </w:rPr>
      <w:fldChar w:fldCharType="begin"/>
    </w:r>
    <w:r>
      <w:rPr>
        <w:rStyle w:val="9"/>
        <w:b/>
        <w:bCs/>
        <w:color w:val="0000FF"/>
        <w:sz w:val="22"/>
        <w:szCs w:val="22"/>
      </w:rPr>
      <w:instrText xml:space="preserve">PAGE  </w:instrText>
    </w:r>
    <w:r>
      <w:rPr>
        <w:rStyle w:val="9"/>
        <w:b/>
        <w:bCs/>
        <w:color w:val="0000FF"/>
        <w:sz w:val="22"/>
        <w:szCs w:val="22"/>
      </w:rPr>
      <w:fldChar w:fldCharType="separate"/>
    </w:r>
    <w:r>
      <w:rPr>
        <w:rStyle w:val="9"/>
        <w:b/>
        <w:bCs/>
        <w:color w:val="0000FF"/>
        <w:sz w:val="22"/>
        <w:szCs w:val="22"/>
      </w:rPr>
      <w:t>14</w:t>
    </w:r>
    <w:r>
      <w:rPr>
        <w:rStyle w:val="9"/>
        <w:b/>
        <w:bCs/>
        <w:color w:val="0000FF"/>
        <w:sz w:val="22"/>
        <w:szCs w:val="22"/>
      </w:rPr>
      <w:fldChar w:fldCharType="end"/>
    </w:r>
  </w:p>
  <w:p>
    <w:pPr>
      <w:pStyle w:val="18"/>
      <w:ind w:firstLine="720"/>
      <w:jc w:val="center"/>
      <w:rPr>
        <w:rFonts w:ascii="Arial" w:hAnsi="Arial" w:cs="Arial"/>
        <w:b/>
        <w:bCs/>
        <w:color w:val="0000FF"/>
      </w:rPr>
    </w:pPr>
    <w:r>
      <w:rPr>
        <w:rFonts w:ascii="Arial" w:hAnsi="Arial" w:cs="Arial"/>
        <w:b/>
        <w:bCs/>
        <w:color w:val="0000FF"/>
      </w:rPr>
      <w:t>ОНДиПР (по г. Ханты-Мансийску и  району) УНДиПР Главного управления МЧС России</w:t>
    </w:r>
  </w:p>
  <w:p>
    <w:pPr>
      <w:pStyle w:val="18"/>
      <w:ind w:firstLine="720"/>
      <w:jc w:val="center"/>
      <w:rPr>
        <w:rFonts w:ascii="Arial" w:hAnsi="Arial" w:cs="Arial"/>
        <w:b/>
        <w:bCs/>
        <w:color w:val="0000FF"/>
      </w:rPr>
    </w:pPr>
    <w:r>
      <w:rPr>
        <w:rFonts w:ascii="Arial" w:hAnsi="Arial" w:cs="Arial"/>
        <w:b/>
        <w:bCs/>
        <w:color w:val="0000FF"/>
      </w:rPr>
      <w:t>по Ханты-Мансийскому автономному округу – Югре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right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-228600</wp:posOffset>
              </wp:positionH>
              <wp:positionV relativeFrom="paragraph">
                <wp:posOffset>195580</wp:posOffset>
              </wp:positionV>
              <wp:extent cx="6705600" cy="9601200"/>
              <wp:effectExtent l="4445" t="5080" r="14605" b="13970"/>
              <wp:wrapNone/>
              <wp:docPr id="27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05600" cy="96012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FF"/>
                        </a:solidFill>
                        <a:miter lim="800000"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" o:spid="_x0000_s1026" o:spt="1" style="position:absolute;left:0pt;margin-left:-18pt;margin-top:15.4pt;height:756pt;width:528pt;z-index:251660288;mso-width-relative:page;mso-height-relative:page;" filled="f" stroked="t" coordsize="21600,21600" o:gfxdata="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CbK73bAAAADAEAAA8AAAAAAAAAAQAgAAAAIgAAAGRycy9kb3ducmV2LnhtbFBL&#10;AQIUABQAAAAIAIdO4kCMggN1LAIAAFkEAAAOAAAAAAAAAAEAIAAAACoBAABkcnMvZTJvRG9jLnht&#10;bFBLBQYAAAAABgAGAFkBAADIBQAAAAA=&#10;">
              <v:fill on="f" focussize="0,0"/>
              <v:stroke weight="0.25pt" color="#0000FF" miterlimit="8" joinstyle="miter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708"/>
  <w:characterSpacingControl w:val="doNotCompress"/>
  <w:hdrShapeDefaults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342"/>
    <w:rsid w:val="000006FD"/>
    <w:rsid w:val="00001AA2"/>
    <w:rsid w:val="000027AA"/>
    <w:rsid w:val="00004622"/>
    <w:rsid w:val="00005267"/>
    <w:rsid w:val="00005E44"/>
    <w:rsid w:val="000060C9"/>
    <w:rsid w:val="000076FA"/>
    <w:rsid w:val="000112B8"/>
    <w:rsid w:val="00011A28"/>
    <w:rsid w:val="00014539"/>
    <w:rsid w:val="000152C5"/>
    <w:rsid w:val="00016897"/>
    <w:rsid w:val="000176DF"/>
    <w:rsid w:val="00017792"/>
    <w:rsid w:val="00017EF6"/>
    <w:rsid w:val="00022020"/>
    <w:rsid w:val="00023EC1"/>
    <w:rsid w:val="00024216"/>
    <w:rsid w:val="000242F4"/>
    <w:rsid w:val="00024FA7"/>
    <w:rsid w:val="00025EE7"/>
    <w:rsid w:val="00027D31"/>
    <w:rsid w:val="00030FF0"/>
    <w:rsid w:val="000315A6"/>
    <w:rsid w:val="00031CDD"/>
    <w:rsid w:val="00031F6B"/>
    <w:rsid w:val="00032DFA"/>
    <w:rsid w:val="00035186"/>
    <w:rsid w:val="000355CF"/>
    <w:rsid w:val="00035DB2"/>
    <w:rsid w:val="00036C8B"/>
    <w:rsid w:val="0004199F"/>
    <w:rsid w:val="00042F1E"/>
    <w:rsid w:val="00043FDB"/>
    <w:rsid w:val="00044044"/>
    <w:rsid w:val="00044BF0"/>
    <w:rsid w:val="00044C8A"/>
    <w:rsid w:val="00050B29"/>
    <w:rsid w:val="00053F1D"/>
    <w:rsid w:val="000553FB"/>
    <w:rsid w:val="00057803"/>
    <w:rsid w:val="00057E8D"/>
    <w:rsid w:val="00061D8F"/>
    <w:rsid w:val="00061EE5"/>
    <w:rsid w:val="00063D4D"/>
    <w:rsid w:val="000640A0"/>
    <w:rsid w:val="0006419C"/>
    <w:rsid w:val="000648D4"/>
    <w:rsid w:val="000674FE"/>
    <w:rsid w:val="00067944"/>
    <w:rsid w:val="0007068B"/>
    <w:rsid w:val="000713C3"/>
    <w:rsid w:val="00072EEE"/>
    <w:rsid w:val="00072FF9"/>
    <w:rsid w:val="00074377"/>
    <w:rsid w:val="000758D8"/>
    <w:rsid w:val="00080ED0"/>
    <w:rsid w:val="00080F1F"/>
    <w:rsid w:val="00082D0D"/>
    <w:rsid w:val="000832D4"/>
    <w:rsid w:val="00084253"/>
    <w:rsid w:val="00084449"/>
    <w:rsid w:val="0008459E"/>
    <w:rsid w:val="00084EE1"/>
    <w:rsid w:val="00085A4D"/>
    <w:rsid w:val="00085E11"/>
    <w:rsid w:val="00090E11"/>
    <w:rsid w:val="000911C9"/>
    <w:rsid w:val="00092447"/>
    <w:rsid w:val="000943F4"/>
    <w:rsid w:val="00094BA5"/>
    <w:rsid w:val="000952EA"/>
    <w:rsid w:val="0009562A"/>
    <w:rsid w:val="00095BAF"/>
    <w:rsid w:val="00095DFC"/>
    <w:rsid w:val="000A0719"/>
    <w:rsid w:val="000A1231"/>
    <w:rsid w:val="000A141A"/>
    <w:rsid w:val="000A1BE3"/>
    <w:rsid w:val="000A2010"/>
    <w:rsid w:val="000A25B8"/>
    <w:rsid w:val="000A45C5"/>
    <w:rsid w:val="000A4CE9"/>
    <w:rsid w:val="000A6E71"/>
    <w:rsid w:val="000A73C2"/>
    <w:rsid w:val="000B0A0F"/>
    <w:rsid w:val="000B0A18"/>
    <w:rsid w:val="000B3646"/>
    <w:rsid w:val="000B5629"/>
    <w:rsid w:val="000B6C70"/>
    <w:rsid w:val="000B781B"/>
    <w:rsid w:val="000C02CF"/>
    <w:rsid w:val="000C52DA"/>
    <w:rsid w:val="000C5720"/>
    <w:rsid w:val="000C5836"/>
    <w:rsid w:val="000C6AD5"/>
    <w:rsid w:val="000D0F0C"/>
    <w:rsid w:val="000D7A53"/>
    <w:rsid w:val="000E1208"/>
    <w:rsid w:val="000E475E"/>
    <w:rsid w:val="000E5412"/>
    <w:rsid w:val="000E67A0"/>
    <w:rsid w:val="000E7497"/>
    <w:rsid w:val="000F0B7A"/>
    <w:rsid w:val="000F0EB7"/>
    <w:rsid w:val="000F0F25"/>
    <w:rsid w:val="000F2B49"/>
    <w:rsid w:val="000F5289"/>
    <w:rsid w:val="000F5311"/>
    <w:rsid w:val="000F63E7"/>
    <w:rsid w:val="000F7791"/>
    <w:rsid w:val="001011F6"/>
    <w:rsid w:val="00102FBF"/>
    <w:rsid w:val="00103C0C"/>
    <w:rsid w:val="00104542"/>
    <w:rsid w:val="00105A4D"/>
    <w:rsid w:val="00106DCE"/>
    <w:rsid w:val="0010780D"/>
    <w:rsid w:val="00107DC1"/>
    <w:rsid w:val="00111D85"/>
    <w:rsid w:val="0011375B"/>
    <w:rsid w:val="00113DED"/>
    <w:rsid w:val="0011608D"/>
    <w:rsid w:val="00116E39"/>
    <w:rsid w:val="00116F91"/>
    <w:rsid w:val="00120F4B"/>
    <w:rsid w:val="001212B2"/>
    <w:rsid w:val="00121356"/>
    <w:rsid w:val="001231E9"/>
    <w:rsid w:val="00123ECA"/>
    <w:rsid w:val="001244F8"/>
    <w:rsid w:val="00124969"/>
    <w:rsid w:val="00125AD4"/>
    <w:rsid w:val="00126CA1"/>
    <w:rsid w:val="0013114D"/>
    <w:rsid w:val="001326E7"/>
    <w:rsid w:val="00133854"/>
    <w:rsid w:val="0013613A"/>
    <w:rsid w:val="0013705B"/>
    <w:rsid w:val="0014014B"/>
    <w:rsid w:val="00140531"/>
    <w:rsid w:val="001425C7"/>
    <w:rsid w:val="001429EB"/>
    <w:rsid w:val="00142BA4"/>
    <w:rsid w:val="00144A33"/>
    <w:rsid w:val="00146253"/>
    <w:rsid w:val="00146A17"/>
    <w:rsid w:val="00150B03"/>
    <w:rsid w:val="001538DD"/>
    <w:rsid w:val="00160F0D"/>
    <w:rsid w:val="001630D0"/>
    <w:rsid w:val="0016340A"/>
    <w:rsid w:val="00163CE6"/>
    <w:rsid w:val="00165E16"/>
    <w:rsid w:val="001665FB"/>
    <w:rsid w:val="00171BE4"/>
    <w:rsid w:val="00171CC9"/>
    <w:rsid w:val="001725C5"/>
    <w:rsid w:val="00172891"/>
    <w:rsid w:val="00172FA4"/>
    <w:rsid w:val="00176E18"/>
    <w:rsid w:val="00182CFC"/>
    <w:rsid w:val="001835F0"/>
    <w:rsid w:val="00183FBD"/>
    <w:rsid w:val="00186CD7"/>
    <w:rsid w:val="00190831"/>
    <w:rsid w:val="0019158A"/>
    <w:rsid w:val="00191DB1"/>
    <w:rsid w:val="001933BD"/>
    <w:rsid w:val="001934DA"/>
    <w:rsid w:val="00193EF0"/>
    <w:rsid w:val="0019472D"/>
    <w:rsid w:val="00197043"/>
    <w:rsid w:val="00197D80"/>
    <w:rsid w:val="001A061B"/>
    <w:rsid w:val="001A2FC5"/>
    <w:rsid w:val="001A3DC5"/>
    <w:rsid w:val="001A4D04"/>
    <w:rsid w:val="001A7961"/>
    <w:rsid w:val="001A79E6"/>
    <w:rsid w:val="001B03BC"/>
    <w:rsid w:val="001B1AAB"/>
    <w:rsid w:val="001B20C6"/>
    <w:rsid w:val="001B37CC"/>
    <w:rsid w:val="001B3DED"/>
    <w:rsid w:val="001B3E44"/>
    <w:rsid w:val="001B5F91"/>
    <w:rsid w:val="001B630F"/>
    <w:rsid w:val="001B7CC9"/>
    <w:rsid w:val="001C301B"/>
    <w:rsid w:val="001C38DE"/>
    <w:rsid w:val="001C3EA7"/>
    <w:rsid w:val="001C45BA"/>
    <w:rsid w:val="001C49F7"/>
    <w:rsid w:val="001C53A7"/>
    <w:rsid w:val="001C6645"/>
    <w:rsid w:val="001C7D04"/>
    <w:rsid w:val="001C7E43"/>
    <w:rsid w:val="001D0108"/>
    <w:rsid w:val="001D3BD2"/>
    <w:rsid w:val="001D4317"/>
    <w:rsid w:val="001D51FD"/>
    <w:rsid w:val="001D52E9"/>
    <w:rsid w:val="001D612B"/>
    <w:rsid w:val="001D7DB3"/>
    <w:rsid w:val="001E1343"/>
    <w:rsid w:val="001E1C98"/>
    <w:rsid w:val="001E2BD4"/>
    <w:rsid w:val="001F1560"/>
    <w:rsid w:val="001F1ABD"/>
    <w:rsid w:val="001F2340"/>
    <w:rsid w:val="001F2752"/>
    <w:rsid w:val="001F35D9"/>
    <w:rsid w:val="001F4CBB"/>
    <w:rsid w:val="001F53DE"/>
    <w:rsid w:val="001F578D"/>
    <w:rsid w:val="001F6FD9"/>
    <w:rsid w:val="001F7867"/>
    <w:rsid w:val="002019A1"/>
    <w:rsid w:val="00201B33"/>
    <w:rsid w:val="00203FFB"/>
    <w:rsid w:val="0020423F"/>
    <w:rsid w:val="00206AC4"/>
    <w:rsid w:val="00206B43"/>
    <w:rsid w:val="002101CF"/>
    <w:rsid w:val="0021271B"/>
    <w:rsid w:val="0021280E"/>
    <w:rsid w:val="00213C54"/>
    <w:rsid w:val="00214FD7"/>
    <w:rsid w:val="00215085"/>
    <w:rsid w:val="0021566C"/>
    <w:rsid w:val="00215BA0"/>
    <w:rsid w:val="002169C4"/>
    <w:rsid w:val="002177D9"/>
    <w:rsid w:val="00217FBB"/>
    <w:rsid w:val="00221E68"/>
    <w:rsid w:val="002230A9"/>
    <w:rsid w:val="002238C9"/>
    <w:rsid w:val="00224FE4"/>
    <w:rsid w:val="00225327"/>
    <w:rsid w:val="002256FB"/>
    <w:rsid w:val="00230132"/>
    <w:rsid w:val="00230C28"/>
    <w:rsid w:val="00230C8B"/>
    <w:rsid w:val="002325CF"/>
    <w:rsid w:val="0023278D"/>
    <w:rsid w:val="00232D00"/>
    <w:rsid w:val="002338A3"/>
    <w:rsid w:val="00241414"/>
    <w:rsid w:val="00241873"/>
    <w:rsid w:val="00245B1E"/>
    <w:rsid w:val="00246890"/>
    <w:rsid w:val="00247E82"/>
    <w:rsid w:val="0025109B"/>
    <w:rsid w:val="00251E32"/>
    <w:rsid w:val="00252BFE"/>
    <w:rsid w:val="00254175"/>
    <w:rsid w:val="002542FD"/>
    <w:rsid w:val="002546A4"/>
    <w:rsid w:val="00255101"/>
    <w:rsid w:val="002563DD"/>
    <w:rsid w:val="002573FA"/>
    <w:rsid w:val="002614E7"/>
    <w:rsid w:val="002627C1"/>
    <w:rsid w:val="00262FBC"/>
    <w:rsid w:val="00263A15"/>
    <w:rsid w:val="0026487F"/>
    <w:rsid w:val="00265AD7"/>
    <w:rsid w:val="002711D4"/>
    <w:rsid w:val="00274974"/>
    <w:rsid w:val="00277AFE"/>
    <w:rsid w:val="00281B8C"/>
    <w:rsid w:val="00281BA8"/>
    <w:rsid w:val="002838F8"/>
    <w:rsid w:val="00283FE2"/>
    <w:rsid w:val="00285376"/>
    <w:rsid w:val="00285EBC"/>
    <w:rsid w:val="00287765"/>
    <w:rsid w:val="00290D0D"/>
    <w:rsid w:val="002916C2"/>
    <w:rsid w:val="00291929"/>
    <w:rsid w:val="002925C7"/>
    <w:rsid w:val="0029302F"/>
    <w:rsid w:val="002935B5"/>
    <w:rsid w:val="00296375"/>
    <w:rsid w:val="002A2954"/>
    <w:rsid w:val="002A389A"/>
    <w:rsid w:val="002A7D9D"/>
    <w:rsid w:val="002B010A"/>
    <w:rsid w:val="002B0A7B"/>
    <w:rsid w:val="002B336B"/>
    <w:rsid w:val="002B410B"/>
    <w:rsid w:val="002C0B92"/>
    <w:rsid w:val="002C3408"/>
    <w:rsid w:val="002D041F"/>
    <w:rsid w:val="002D3BD9"/>
    <w:rsid w:val="002D5185"/>
    <w:rsid w:val="002D53BC"/>
    <w:rsid w:val="002D67BF"/>
    <w:rsid w:val="002D786D"/>
    <w:rsid w:val="002E1950"/>
    <w:rsid w:val="002E1F3A"/>
    <w:rsid w:val="002E2D7A"/>
    <w:rsid w:val="002F0BE9"/>
    <w:rsid w:val="002F1B11"/>
    <w:rsid w:val="002F2297"/>
    <w:rsid w:val="002F29A4"/>
    <w:rsid w:val="002F509F"/>
    <w:rsid w:val="002F5383"/>
    <w:rsid w:val="002F565E"/>
    <w:rsid w:val="002F63F2"/>
    <w:rsid w:val="002F6575"/>
    <w:rsid w:val="002F7F67"/>
    <w:rsid w:val="003003DC"/>
    <w:rsid w:val="00304239"/>
    <w:rsid w:val="00304B54"/>
    <w:rsid w:val="003063A3"/>
    <w:rsid w:val="00306F37"/>
    <w:rsid w:val="003076DD"/>
    <w:rsid w:val="00310F36"/>
    <w:rsid w:val="003114BC"/>
    <w:rsid w:val="00312F57"/>
    <w:rsid w:val="00313289"/>
    <w:rsid w:val="00313E74"/>
    <w:rsid w:val="00314E6B"/>
    <w:rsid w:val="00315EE5"/>
    <w:rsid w:val="0032041D"/>
    <w:rsid w:val="00320B45"/>
    <w:rsid w:val="003223DA"/>
    <w:rsid w:val="003229B8"/>
    <w:rsid w:val="00322CE7"/>
    <w:rsid w:val="0032345F"/>
    <w:rsid w:val="003241E3"/>
    <w:rsid w:val="00325750"/>
    <w:rsid w:val="0032666B"/>
    <w:rsid w:val="00326D25"/>
    <w:rsid w:val="00326F15"/>
    <w:rsid w:val="00327C8C"/>
    <w:rsid w:val="00331995"/>
    <w:rsid w:val="00331EFB"/>
    <w:rsid w:val="00334D83"/>
    <w:rsid w:val="003374C3"/>
    <w:rsid w:val="00341B82"/>
    <w:rsid w:val="0034488C"/>
    <w:rsid w:val="00344EB8"/>
    <w:rsid w:val="0035097F"/>
    <w:rsid w:val="00351D0E"/>
    <w:rsid w:val="003545E6"/>
    <w:rsid w:val="00354618"/>
    <w:rsid w:val="00354A0A"/>
    <w:rsid w:val="00354FD3"/>
    <w:rsid w:val="00355835"/>
    <w:rsid w:val="00361051"/>
    <w:rsid w:val="0036171C"/>
    <w:rsid w:val="00362348"/>
    <w:rsid w:val="00362970"/>
    <w:rsid w:val="00363A5A"/>
    <w:rsid w:val="00363B79"/>
    <w:rsid w:val="00365E34"/>
    <w:rsid w:val="0036778E"/>
    <w:rsid w:val="003700E2"/>
    <w:rsid w:val="003705C6"/>
    <w:rsid w:val="00370A72"/>
    <w:rsid w:val="003724F4"/>
    <w:rsid w:val="0037389A"/>
    <w:rsid w:val="00373C27"/>
    <w:rsid w:val="00375D40"/>
    <w:rsid w:val="00383338"/>
    <w:rsid w:val="00383387"/>
    <w:rsid w:val="0038384E"/>
    <w:rsid w:val="003847E0"/>
    <w:rsid w:val="00384B31"/>
    <w:rsid w:val="00385FB3"/>
    <w:rsid w:val="003905C9"/>
    <w:rsid w:val="00392E5D"/>
    <w:rsid w:val="003930CB"/>
    <w:rsid w:val="00394818"/>
    <w:rsid w:val="00394B88"/>
    <w:rsid w:val="00395EFA"/>
    <w:rsid w:val="003961AA"/>
    <w:rsid w:val="00396376"/>
    <w:rsid w:val="003964B4"/>
    <w:rsid w:val="003A1C56"/>
    <w:rsid w:val="003A32E5"/>
    <w:rsid w:val="003A33C1"/>
    <w:rsid w:val="003A34B5"/>
    <w:rsid w:val="003A5689"/>
    <w:rsid w:val="003A56C0"/>
    <w:rsid w:val="003A643E"/>
    <w:rsid w:val="003A7403"/>
    <w:rsid w:val="003B02DC"/>
    <w:rsid w:val="003B1023"/>
    <w:rsid w:val="003B195D"/>
    <w:rsid w:val="003B216D"/>
    <w:rsid w:val="003B27AA"/>
    <w:rsid w:val="003B2FF4"/>
    <w:rsid w:val="003B4197"/>
    <w:rsid w:val="003B51AB"/>
    <w:rsid w:val="003B5B9F"/>
    <w:rsid w:val="003C13F3"/>
    <w:rsid w:val="003C31BF"/>
    <w:rsid w:val="003C3CD6"/>
    <w:rsid w:val="003C783C"/>
    <w:rsid w:val="003D159A"/>
    <w:rsid w:val="003D199A"/>
    <w:rsid w:val="003D20EC"/>
    <w:rsid w:val="003D2142"/>
    <w:rsid w:val="003D3309"/>
    <w:rsid w:val="003D3B53"/>
    <w:rsid w:val="003D3DD5"/>
    <w:rsid w:val="003D52E7"/>
    <w:rsid w:val="003D558E"/>
    <w:rsid w:val="003D572A"/>
    <w:rsid w:val="003E118E"/>
    <w:rsid w:val="003E1B4B"/>
    <w:rsid w:val="003E31EF"/>
    <w:rsid w:val="003E45C3"/>
    <w:rsid w:val="003E7637"/>
    <w:rsid w:val="003F06B3"/>
    <w:rsid w:val="003F108F"/>
    <w:rsid w:val="003F155D"/>
    <w:rsid w:val="003F52A5"/>
    <w:rsid w:val="003F58DC"/>
    <w:rsid w:val="003F65C1"/>
    <w:rsid w:val="003F707E"/>
    <w:rsid w:val="003F7330"/>
    <w:rsid w:val="003F7F24"/>
    <w:rsid w:val="004000F9"/>
    <w:rsid w:val="00400236"/>
    <w:rsid w:val="004004F9"/>
    <w:rsid w:val="004016FA"/>
    <w:rsid w:val="00402718"/>
    <w:rsid w:val="00402FDB"/>
    <w:rsid w:val="00403DF5"/>
    <w:rsid w:val="00404B24"/>
    <w:rsid w:val="004100B3"/>
    <w:rsid w:val="004102AE"/>
    <w:rsid w:val="00413B41"/>
    <w:rsid w:val="00414BF3"/>
    <w:rsid w:val="004177BE"/>
    <w:rsid w:val="00422483"/>
    <w:rsid w:val="00422BC3"/>
    <w:rsid w:val="004242F2"/>
    <w:rsid w:val="0042523F"/>
    <w:rsid w:val="004254FD"/>
    <w:rsid w:val="004258F1"/>
    <w:rsid w:val="0042652A"/>
    <w:rsid w:val="0042718A"/>
    <w:rsid w:val="004272CD"/>
    <w:rsid w:val="0043016D"/>
    <w:rsid w:val="004317E3"/>
    <w:rsid w:val="0043288D"/>
    <w:rsid w:val="004328A0"/>
    <w:rsid w:val="00432992"/>
    <w:rsid w:val="004337D1"/>
    <w:rsid w:val="00434EE9"/>
    <w:rsid w:val="00435412"/>
    <w:rsid w:val="004358E1"/>
    <w:rsid w:val="0043669B"/>
    <w:rsid w:val="00436BB8"/>
    <w:rsid w:val="00437D00"/>
    <w:rsid w:val="00440083"/>
    <w:rsid w:val="00440925"/>
    <w:rsid w:val="00441456"/>
    <w:rsid w:val="00445D58"/>
    <w:rsid w:val="004476A6"/>
    <w:rsid w:val="004512F1"/>
    <w:rsid w:val="00451516"/>
    <w:rsid w:val="00452B65"/>
    <w:rsid w:val="0045464B"/>
    <w:rsid w:val="00454F51"/>
    <w:rsid w:val="00455210"/>
    <w:rsid w:val="00457391"/>
    <w:rsid w:val="0045795F"/>
    <w:rsid w:val="00457C75"/>
    <w:rsid w:val="00461A01"/>
    <w:rsid w:val="004626E6"/>
    <w:rsid w:val="0046283F"/>
    <w:rsid w:val="00462B1E"/>
    <w:rsid w:val="0046367D"/>
    <w:rsid w:val="00465054"/>
    <w:rsid w:val="004668D6"/>
    <w:rsid w:val="00466C6B"/>
    <w:rsid w:val="004671B5"/>
    <w:rsid w:val="00467869"/>
    <w:rsid w:val="00467983"/>
    <w:rsid w:val="004705E8"/>
    <w:rsid w:val="00472A5E"/>
    <w:rsid w:val="00473131"/>
    <w:rsid w:val="00476478"/>
    <w:rsid w:val="0047742E"/>
    <w:rsid w:val="00481D05"/>
    <w:rsid w:val="00482154"/>
    <w:rsid w:val="00484116"/>
    <w:rsid w:val="00484FDF"/>
    <w:rsid w:val="0048595C"/>
    <w:rsid w:val="00485C04"/>
    <w:rsid w:val="004863EB"/>
    <w:rsid w:val="00486D19"/>
    <w:rsid w:val="0048789B"/>
    <w:rsid w:val="00490555"/>
    <w:rsid w:val="00491D48"/>
    <w:rsid w:val="00493C21"/>
    <w:rsid w:val="00493DA4"/>
    <w:rsid w:val="004951B3"/>
    <w:rsid w:val="00495F83"/>
    <w:rsid w:val="00497979"/>
    <w:rsid w:val="00497DA9"/>
    <w:rsid w:val="004A0581"/>
    <w:rsid w:val="004A0DD0"/>
    <w:rsid w:val="004A193A"/>
    <w:rsid w:val="004A3665"/>
    <w:rsid w:val="004A42AD"/>
    <w:rsid w:val="004A4985"/>
    <w:rsid w:val="004A57C4"/>
    <w:rsid w:val="004A65A3"/>
    <w:rsid w:val="004A71AA"/>
    <w:rsid w:val="004A71EA"/>
    <w:rsid w:val="004B1CEE"/>
    <w:rsid w:val="004B2E0C"/>
    <w:rsid w:val="004B2FEE"/>
    <w:rsid w:val="004B6969"/>
    <w:rsid w:val="004B78C2"/>
    <w:rsid w:val="004C01A1"/>
    <w:rsid w:val="004C1339"/>
    <w:rsid w:val="004C1FC2"/>
    <w:rsid w:val="004C3085"/>
    <w:rsid w:val="004C4150"/>
    <w:rsid w:val="004C5483"/>
    <w:rsid w:val="004C7FAD"/>
    <w:rsid w:val="004D0E6F"/>
    <w:rsid w:val="004D0F78"/>
    <w:rsid w:val="004D2395"/>
    <w:rsid w:val="004D3574"/>
    <w:rsid w:val="004D3604"/>
    <w:rsid w:val="004D43C1"/>
    <w:rsid w:val="004D4A05"/>
    <w:rsid w:val="004D5034"/>
    <w:rsid w:val="004D700C"/>
    <w:rsid w:val="004D71C2"/>
    <w:rsid w:val="004D774B"/>
    <w:rsid w:val="004E09CF"/>
    <w:rsid w:val="004E3AC4"/>
    <w:rsid w:val="004E3AF1"/>
    <w:rsid w:val="004E48A2"/>
    <w:rsid w:val="004E5DEE"/>
    <w:rsid w:val="004E75F3"/>
    <w:rsid w:val="004E7938"/>
    <w:rsid w:val="004F112A"/>
    <w:rsid w:val="004F1C6B"/>
    <w:rsid w:val="004F3ACF"/>
    <w:rsid w:val="004F444C"/>
    <w:rsid w:val="004F75A0"/>
    <w:rsid w:val="004F7DEF"/>
    <w:rsid w:val="00500625"/>
    <w:rsid w:val="00500E97"/>
    <w:rsid w:val="005035CA"/>
    <w:rsid w:val="00504244"/>
    <w:rsid w:val="00505D0B"/>
    <w:rsid w:val="00506501"/>
    <w:rsid w:val="0050680A"/>
    <w:rsid w:val="00507A99"/>
    <w:rsid w:val="0051034D"/>
    <w:rsid w:val="00510588"/>
    <w:rsid w:val="00512E9C"/>
    <w:rsid w:val="0051347E"/>
    <w:rsid w:val="0051450D"/>
    <w:rsid w:val="00516D2D"/>
    <w:rsid w:val="0051780C"/>
    <w:rsid w:val="0052006B"/>
    <w:rsid w:val="005202FB"/>
    <w:rsid w:val="00520BD7"/>
    <w:rsid w:val="00520D99"/>
    <w:rsid w:val="00521395"/>
    <w:rsid w:val="00521742"/>
    <w:rsid w:val="00523E69"/>
    <w:rsid w:val="00526787"/>
    <w:rsid w:val="00526863"/>
    <w:rsid w:val="005275B3"/>
    <w:rsid w:val="00530930"/>
    <w:rsid w:val="00530B7E"/>
    <w:rsid w:val="005349F0"/>
    <w:rsid w:val="00534B37"/>
    <w:rsid w:val="00534C05"/>
    <w:rsid w:val="00536D04"/>
    <w:rsid w:val="0054505B"/>
    <w:rsid w:val="00546259"/>
    <w:rsid w:val="005468D7"/>
    <w:rsid w:val="00551C77"/>
    <w:rsid w:val="00552066"/>
    <w:rsid w:val="00553A8B"/>
    <w:rsid w:val="00553B96"/>
    <w:rsid w:val="00557476"/>
    <w:rsid w:val="00557A6B"/>
    <w:rsid w:val="00562374"/>
    <w:rsid w:val="00563CB9"/>
    <w:rsid w:val="005643D6"/>
    <w:rsid w:val="00565991"/>
    <w:rsid w:val="00566486"/>
    <w:rsid w:val="005665F8"/>
    <w:rsid w:val="00570430"/>
    <w:rsid w:val="005709A4"/>
    <w:rsid w:val="00571AF8"/>
    <w:rsid w:val="00572EAE"/>
    <w:rsid w:val="0057408D"/>
    <w:rsid w:val="0057478A"/>
    <w:rsid w:val="00574FED"/>
    <w:rsid w:val="00575BBC"/>
    <w:rsid w:val="00575F84"/>
    <w:rsid w:val="00576C3A"/>
    <w:rsid w:val="00577754"/>
    <w:rsid w:val="005808FA"/>
    <w:rsid w:val="005810FB"/>
    <w:rsid w:val="00581565"/>
    <w:rsid w:val="00582DCC"/>
    <w:rsid w:val="00583550"/>
    <w:rsid w:val="00583B4B"/>
    <w:rsid w:val="00584F0A"/>
    <w:rsid w:val="005859E7"/>
    <w:rsid w:val="0058628F"/>
    <w:rsid w:val="00586F9F"/>
    <w:rsid w:val="00590F82"/>
    <w:rsid w:val="005913EC"/>
    <w:rsid w:val="00591B21"/>
    <w:rsid w:val="00592119"/>
    <w:rsid w:val="0059241F"/>
    <w:rsid w:val="00592CFA"/>
    <w:rsid w:val="00593557"/>
    <w:rsid w:val="00593938"/>
    <w:rsid w:val="00593E52"/>
    <w:rsid w:val="00593F78"/>
    <w:rsid w:val="00593FD1"/>
    <w:rsid w:val="005941AA"/>
    <w:rsid w:val="005941F6"/>
    <w:rsid w:val="00594721"/>
    <w:rsid w:val="00594E8B"/>
    <w:rsid w:val="00595144"/>
    <w:rsid w:val="005967DF"/>
    <w:rsid w:val="00596E24"/>
    <w:rsid w:val="00597587"/>
    <w:rsid w:val="005A088D"/>
    <w:rsid w:val="005A0C96"/>
    <w:rsid w:val="005A20D7"/>
    <w:rsid w:val="005A3106"/>
    <w:rsid w:val="005A3CD8"/>
    <w:rsid w:val="005A5C83"/>
    <w:rsid w:val="005A7AFC"/>
    <w:rsid w:val="005B09A5"/>
    <w:rsid w:val="005B104B"/>
    <w:rsid w:val="005B1FAD"/>
    <w:rsid w:val="005B2815"/>
    <w:rsid w:val="005B2CA0"/>
    <w:rsid w:val="005B3823"/>
    <w:rsid w:val="005B38E6"/>
    <w:rsid w:val="005B563F"/>
    <w:rsid w:val="005B6D9F"/>
    <w:rsid w:val="005B7A29"/>
    <w:rsid w:val="005C27AE"/>
    <w:rsid w:val="005C5BB7"/>
    <w:rsid w:val="005C67AE"/>
    <w:rsid w:val="005C6A35"/>
    <w:rsid w:val="005C75D4"/>
    <w:rsid w:val="005D006B"/>
    <w:rsid w:val="005D27D0"/>
    <w:rsid w:val="005D3098"/>
    <w:rsid w:val="005D4AB5"/>
    <w:rsid w:val="005D5339"/>
    <w:rsid w:val="005D565E"/>
    <w:rsid w:val="005D5726"/>
    <w:rsid w:val="005D5D4D"/>
    <w:rsid w:val="005D6715"/>
    <w:rsid w:val="005E03C4"/>
    <w:rsid w:val="005E1671"/>
    <w:rsid w:val="005E16F6"/>
    <w:rsid w:val="005E26E6"/>
    <w:rsid w:val="005E2981"/>
    <w:rsid w:val="005E3FE4"/>
    <w:rsid w:val="005E65BA"/>
    <w:rsid w:val="005E6680"/>
    <w:rsid w:val="005E6BC9"/>
    <w:rsid w:val="005E6C55"/>
    <w:rsid w:val="005E73C2"/>
    <w:rsid w:val="005F14EB"/>
    <w:rsid w:val="005F1AFB"/>
    <w:rsid w:val="005F2EC4"/>
    <w:rsid w:val="005F35BF"/>
    <w:rsid w:val="005F7AAA"/>
    <w:rsid w:val="00601641"/>
    <w:rsid w:val="00601D48"/>
    <w:rsid w:val="00601E4B"/>
    <w:rsid w:val="00602EA1"/>
    <w:rsid w:val="00602F49"/>
    <w:rsid w:val="00603D72"/>
    <w:rsid w:val="006105B6"/>
    <w:rsid w:val="00610964"/>
    <w:rsid w:val="0061146A"/>
    <w:rsid w:val="0061179B"/>
    <w:rsid w:val="00611D03"/>
    <w:rsid w:val="00614D83"/>
    <w:rsid w:val="00620806"/>
    <w:rsid w:val="00623886"/>
    <w:rsid w:val="00624F2D"/>
    <w:rsid w:val="00625493"/>
    <w:rsid w:val="00625FD4"/>
    <w:rsid w:val="00627B97"/>
    <w:rsid w:val="00633A0C"/>
    <w:rsid w:val="0063625E"/>
    <w:rsid w:val="00640394"/>
    <w:rsid w:val="00642621"/>
    <w:rsid w:val="00643E2C"/>
    <w:rsid w:val="006448F6"/>
    <w:rsid w:val="00646693"/>
    <w:rsid w:val="00646BA5"/>
    <w:rsid w:val="00647424"/>
    <w:rsid w:val="006508C5"/>
    <w:rsid w:val="0065098B"/>
    <w:rsid w:val="0065269D"/>
    <w:rsid w:val="0065286D"/>
    <w:rsid w:val="006529A9"/>
    <w:rsid w:val="00654D58"/>
    <w:rsid w:val="00656A92"/>
    <w:rsid w:val="00656CB0"/>
    <w:rsid w:val="0066148B"/>
    <w:rsid w:val="00661C56"/>
    <w:rsid w:val="00664260"/>
    <w:rsid w:val="00664C6B"/>
    <w:rsid w:val="006671A2"/>
    <w:rsid w:val="006675E1"/>
    <w:rsid w:val="006679D4"/>
    <w:rsid w:val="00673B1B"/>
    <w:rsid w:val="00674A36"/>
    <w:rsid w:val="0067658B"/>
    <w:rsid w:val="006842F3"/>
    <w:rsid w:val="006848DA"/>
    <w:rsid w:val="00684A78"/>
    <w:rsid w:val="00685EC4"/>
    <w:rsid w:val="00686973"/>
    <w:rsid w:val="00687B15"/>
    <w:rsid w:val="00690DC7"/>
    <w:rsid w:val="00693279"/>
    <w:rsid w:val="006932A5"/>
    <w:rsid w:val="00695003"/>
    <w:rsid w:val="00695EAF"/>
    <w:rsid w:val="00696237"/>
    <w:rsid w:val="006965B5"/>
    <w:rsid w:val="00697C64"/>
    <w:rsid w:val="006A0E7E"/>
    <w:rsid w:val="006A1059"/>
    <w:rsid w:val="006A16BC"/>
    <w:rsid w:val="006A43CB"/>
    <w:rsid w:val="006A47FC"/>
    <w:rsid w:val="006A4F4D"/>
    <w:rsid w:val="006A5921"/>
    <w:rsid w:val="006A7F51"/>
    <w:rsid w:val="006B020E"/>
    <w:rsid w:val="006B0ED0"/>
    <w:rsid w:val="006B1CE1"/>
    <w:rsid w:val="006B1D68"/>
    <w:rsid w:val="006B1ED3"/>
    <w:rsid w:val="006B2ADB"/>
    <w:rsid w:val="006B4BD6"/>
    <w:rsid w:val="006B4FD4"/>
    <w:rsid w:val="006C043B"/>
    <w:rsid w:val="006C1270"/>
    <w:rsid w:val="006C15B5"/>
    <w:rsid w:val="006C4939"/>
    <w:rsid w:val="006C6512"/>
    <w:rsid w:val="006C6C77"/>
    <w:rsid w:val="006D28F7"/>
    <w:rsid w:val="006D2FF2"/>
    <w:rsid w:val="006D3C5E"/>
    <w:rsid w:val="006D46EE"/>
    <w:rsid w:val="006D4968"/>
    <w:rsid w:val="006D66F9"/>
    <w:rsid w:val="006E120E"/>
    <w:rsid w:val="006E1845"/>
    <w:rsid w:val="006E197A"/>
    <w:rsid w:val="006E2126"/>
    <w:rsid w:val="006E3867"/>
    <w:rsid w:val="006E495D"/>
    <w:rsid w:val="006E4974"/>
    <w:rsid w:val="006E53E9"/>
    <w:rsid w:val="006E5C03"/>
    <w:rsid w:val="006E6B26"/>
    <w:rsid w:val="006E761A"/>
    <w:rsid w:val="006F0B5F"/>
    <w:rsid w:val="006F1E9F"/>
    <w:rsid w:val="006F21F6"/>
    <w:rsid w:val="006F324E"/>
    <w:rsid w:val="006F72E9"/>
    <w:rsid w:val="007010F5"/>
    <w:rsid w:val="00702B08"/>
    <w:rsid w:val="00704F07"/>
    <w:rsid w:val="0070772A"/>
    <w:rsid w:val="00707B66"/>
    <w:rsid w:val="00707BDE"/>
    <w:rsid w:val="00711C88"/>
    <w:rsid w:val="00713492"/>
    <w:rsid w:val="00713B77"/>
    <w:rsid w:val="00713D8A"/>
    <w:rsid w:val="007148EC"/>
    <w:rsid w:val="00714FE3"/>
    <w:rsid w:val="007208D5"/>
    <w:rsid w:val="0072117E"/>
    <w:rsid w:val="00721706"/>
    <w:rsid w:val="007225C0"/>
    <w:rsid w:val="00726147"/>
    <w:rsid w:val="00726637"/>
    <w:rsid w:val="00730F2F"/>
    <w:rsid w:val="00733BEC"/>
    <w:rsid w:val="00733C2B"/>
    <w:rsid w:val="0073430F"/>
    <w:rsid w:val="00736608"/>
    <w:rsid w:val="0073793C"/>
    <w:rsid w:val="00740710"/>
    <w:rsid w:val="00742ACC"/>
    <w:rsid w:val="00743B0A"/>
    <w:rsid w:val="00743E74"/>
    <w:rsid w:val="0074564A"/>
    <w:rsid w:val="00745C3B"/>
    <w:rsid w:val="007474E5"/>
    <w:rsid w:val="00747728"/>
    <w:rsid w:val="00750447"/>
    <w:rsid w:val="00750796"/>
    <w:rsid w:val="0075329B"/>
    <w:rsid w:val="00755A0A"/>
    <w:rsid w:val="00762D46"/>
    <w:rsid w:val="0076392C"/>
    <w:rsid w:val="00764771"/>
    <w:rsid w:val="00765094"/>
    <w:rsid w:val="00766CDC"/>
    <w:rsid w:val="007723E5"/>
    <w:rsid w:val="007739CC"/>
    <w:rsid w:val="00774DF4"/>
    <w:rsid w:val="007769B5"/>
    <w:rsid w:val="00776ABD"/>
    <w:rsid w:val="00776C00"/>
    <w:rsid w:val="00782498"/>
    <w:rsid w:val="007834CC"/>
    <w:rsid w:val="0078374A"/>
    <w:rsid w:val="007859E6"/>
    <w:rsid w:val="00786285"/>
    <w:rsid w:val="0079044D"/>
    <w:rsid w:val="00791104"/>
    <w:rsid w:val="0079327A"/>
    <w:rsid w:val="0079631A"/>
    <w:rsid w:val="00796EC0"/>
    <w:rsid w:val="007979D2"/>
    <w:rsid w:val="00797C0E"/>
    <w:rsid w:val="00797E85"/>
    <w:rsid w:val="007A11DE"/>
    <w:rsid w:val="007A4050"/>
    <w:rsid w:val="007A4094"/>
    <w:rsid w:val="007A5E04"/>
    <w:rsid w:val="007A62C7"/>
    <w:rsid w:val="007A6437"/>
    <w:rsid w:val="007A755E"/>
    <w:rsid w:val="007B0956"/>
    <w:rsid w:val="007B1482"/>
    <w:rsid w:val="007B22BF"/>
    <w:rsid w:val="007B4A32"/>
    <w:rsid w:val="007C03FA"/>
    <w:rsid w:val="007C15F2"/>
    <w:rsid w:val="007C1E16"/>
    <w:rsid w:val="007C1FF7"/>
    <w:rsid w:val="007C33C6"/>
    <w:rsid w:val="007C3741"/>
    <w:rsid w:val="007C52E7"/>
    <w:rsid w:val="007C5A65"/>
    <w:rsid w:val="007C6100"/>
    <w:rsid w:val="007C61C9"/>
    <w:rsid w:val="007D0214"/>
    <w:rsid w:val="007D276F"/>
    <w:rsid w:val="007D4DFF"/>
    <w:rsid w:val="007D7177"/>
    <w:rsid w:val="007D7C29"/>
    <w:rsid w:val="007E7718"/>
    <w:rsid w:val="007E7E31"/>
    <w:rsid w:val="007F0CBB"/>
    <w:rsid w:val="007F1A75"/>
    <w:rsid w:val="007F265A"/>
    <w:rsid w:val="007F378C"/>
    <w:rsid w:val="007F3E09"/>
    <w:rsid w:val="007F3E57"/>
    <w:rsid w:val="007F51E9"/>
    <w:rsid w:val="007F7160"/>
    <w:rsid w:val="007F7CF6"/>
    <w:rsid w:val="00801C5C"/>
    <w:rsid w:val="00802842"/>
    <w:rsid w:val="008033E9"/>
    <w:rsid w:val="0080376A"/>
    <w:rsid w:val="008070CE"/>
    <w:rsid w:val="00812EA0"/>
    <w:rsid w:val="00813EDB"/>
    <w:rsid w:val="0081407F"/>
    <w:rsid w:val="0081707D"/>
    <w:rsid w:val="00817E11"/>
    <w:rsid w:val="00825096"/>
    <w:rsid w:val="00825147"/>
    <w:rsid w:val="00825214"/>
    <w:rsid w:val="008278B4"/>
    <w:rsid w:val="008307CD"/>
    <w:rsid w:val="00833E59"/>
    <w:rsid w:val="0083426D"/>
    <w:rsid w:val="008351B5"/>
    <w:rsid w:val="008371E9"/>
    <w:rsid w:val="008377E2"/>
    <w:rsid w:val="0084200B"/>
    <w:rsid w:val="00844FA4"/>
    <w:rsid w:val="0084558D"/>
    <w:rsid w:val="008462F9"/>
    <w:rsid w:val="00847CEF"/>
    <w:rsid w:val="00850E4D"/>
    <w:rsid w:val="00851224"/>
    <w:rsid w:val="008516BE"/>
    <w:rsid w:val="00851B8A"/>
    <w:rsid w:val="00855B6C"/>
    <w:rsid w:val="00855DDD"/>
    <w:rsid w:val="00855EF4"/>
    <w:rsid w:val="00855EF7"/>
    <w:rsid w:val="0085606B"/>
    <w:rsid w:val="008601FB"/>
    <w:rsid w:val="008608F9"/>
    <w:rsid w:val="00860E3D"/>
    <w:rsid w:val="008616D9"/>
    <w:rsid w:val="008621FD"/>
    <w:rsid w:val="00863929"/>
    <w:rsid w:val="00864D3B"/>
    <w:rsid w:val="00870BFD"/>
    <w:rsid w:val="00870CB1"/>
    <w:rsid w:val="00871294"/>
    <w:rsid w:val="00872FE6"/>
    <w:rsid w:val="00873861"/>
    <w:rsid w:val="00873A2C"/>
    <w:rsid w:val="00873A68"/>
    <w:rsid w:val="00873FFC"/>
    <w:rsid w:val="008755D9"/>
    <w:rsid w:val="0087589A"/>
    <w:rsid w:val="008761A9"/>
    <w:rsid w:val="00882285"/>
    <w:rsid w:val="00883101"/>
    <w:rsid w:val="00887492"/>
    <w:rsid w:val="0089097D"/>
    <w:rsid w:val="008931CB"/>
    <w:rsid w:val="00897F3A"/>
    <w:rsid w:val="008A00F9"/>
    <w:rsid w:val="008A289E"/>
    <w:rsid w:val="008A4483"/>
    <w:rsid w:val="008A4544"/>
    <w:rsid w:val="008A7F77"/>
    <w:rsid w:val="008B03BB"/>
    <w:rsid w:val="008B2F69"/>
    <w:rsid w:val="008B5B50"/>
    <w:rsid w:val="008B65D0"/>
    <w:rsid w:val="008B7607"/>
    <w:rsid w:val="008C0D5E"/>
    <w:rsid w:val="008C187B"/>
    <w:rsid w:val="008C5622"/>
    <w:rsid w:val="008C6F59"/>
    <w:rsid w:val="008D10CD"/>
    <w:rsid w:val="008D2859"/>
    <w:rsid w:val="008D4735"/>
    <w:rsid w:val="008D5583"/>
    <w:rsid w:val="008D595C"/>
    <w:rsid w:val="008D5ED4"/>
    <w:rsid w:val="008D611D"/>
    <w:rsid w:val="008D737D"/>
    <w:rsid w:val="008D7D9A"/>
    <w:rsid w:val="008E1AD4"/>
    <w:rsid w:val="008E3048"/>
    <w:rsid w:val="008E4026"/>
    <w:rsid w:val="008E5FC0"/>
    <w:rsid w:val="008F163C"/>
    <w:rsid w:val="008F1ED2"/>
    <w:rsid w:val="008F38F4"/>
    <w:rsid w:val="008F530E"/>
    <w:rsid w:val="008F533D"/>
    <w:rsid w:val="008F64D4"/>
    <w:rsid w:val="008F6E5E"/>
    <w:rsid w:val="00900D63"/>
    <w:rsid w:val="00903DE1"/>
    <w:rsid w:val="00904653"/>
    <w:rsid w:val="00905F62"/>
    <w:rsid w:val="00906CB0"/>
    <w:rsid w:val="00907117"/>
    <w:rsid w:val="00910CDB"/>
    <w:rsid w:val="00911D0A"/>
    <w:rsid w:val="00912330"/>
    <w:rsid w:val="00913F1F"/>
    <w:rsid w:val="00917342"/>
    <w:rsid w:val="009204E0"/>
    <w:rsid w:val="009213FE"/>
    <w:rsid w:val="00921D0F"/>
    <w:rsid w:val="00922046"/>
    <w:rsid w:val="00924240"/>
    <w:rsid w:val="00925038"/>
    <w:rsid w:val="00926373"/>
    <w:rsid w:val="009272A6"/>
    <w:rsid w:val="00927FE9"/>
    <w:rsid w:val="0093313B"/>
    <w:rsid w:val="0093315B"/>
    <w:rsid w:val="009339F0"/>
    <w:rsid w:val="00933A58"/>
    <w:rsid w:val="00934672"/>
    <w:rsid w:val="00935D63"/>
    <w:rsid w:val="00942387"/>
    <w:rsid w:val="00942A69"/>
    <w:rsid w:val="00943558"/>
    <w:rsid w:val="0094443D"/>
    <w:rsid w:val="0094498D"/>
    <w:rsid w:val="009464A1"/>
    <w:rsid w:val="009508E4"/>
    <w:rsid w:val="0095151F"/>
    <w:rsid w:val="00951B41"/>
    <w:rsid w:val="009531A5"/>
    <w:rsid w:val="0095340B"/>
    <w:rsid w:val="00953CB0"/>
    <w:rsid w:val="009547F0"/>
    <w:rsid w:val="0095578C"/>
    <w:rsid w:val="009561D4"/>
    <w:rsid w:val="00960804"/>
    <w:rsid w:val="009610E9"/>
    <w:rsid w:val="00963428"/>
    <w:rsid w:val="00963845"/>
    <w:rsid w:val="00964E3C"/>
    <w:rsid w:val="00965482"/>
    <w:rsid w:val="00965DA5"/>
    <w:rsid w:val="009672B3"/>
    <w:rsid w:val="00967BC1"/>
    <w:rsid w:val="0097002A"/>
    <w:rsid w:val="00970C67"/>
    <w:rsid w:val="009718D6"/>
    <w:rsid w:val="00973A20"/>
    <w:rsid w:val="009747BA"/>
    <w:rsid w:val="0097506A"/>
    <w:rsid w:val="0097629E"/>
    <w:rsid w:val="009768BA"/>
    <w:rsid w:val="00980A3A"/>
    <w:rsid w:val="009812F3"/>
    <w:rsid w:val="00982EFA"/>
    <w:rsid w:val="00983290"/>
    <w:rsid w:val="00983E1C"/>
    <w:rsid w:val="00984E8D"/>
    <w:rsid w:val="009870EE"/>
    <w:rsid w:val="00987696"/>
    <w:rsid w:val="00990522"/>
    <w:rsid w:val="009907D5"/>
    <w:rsid w:val="009963D4"/>
    <w:rsid w:val="009967B2"/>
    <w:rsid w:val="00997215"/>
    <w:rsid w:val="009A019B"/>
    <w:rsid w:val="009A0324"/>
    <w:rsid w:val="009A0743"/>
    <w:rsid w:val="009A117D"/>
    <w:rsid w:val="009A3DE5"/>
    <w:rsid w:val="009A41BB"/>
    <w:rsid w:val="009A4220"/>
    <w:rsid w:val="009A7057"/>
    <w:rsid w:val="009B03E0"/>
    <w:rsid w:val="009B1A6B"/>
    <w:rsid w:val="009B38F3"/>
    <w:rsid w:val="009B5B03"/>
    <w:rsid w:val="009B6BC4"/>
    <w:rsid w:val="009B716F"/>
    <w:rsid w:val="009B7CC1"/>
    <w:rsid w:val="009C0FF2"/>
    <w:rsid w:val="009C191B"/>
    <w:rsid w:val="009C1920"/>
    <w:rsid w:val="009C44CF"/>
    <w:rsid w:val="009C4762"/>
    <w:rsid w:val="009C4C6A"/>
    <w:rsid w:val="009C4E6D"/>
    <w:rsid w:val="009C5ECE"/>
    <w:rsid w:val="009C6601"/>
    <w:rsid w:val="009C7FA1"/>
    <w:rsid w:val="009D03BE"/>
    <w:rsid w:val="009D082C"/>
    <w:rsid w:val="009D161E"/>
    <w:rsid w:val="009D1841"/>
    <w:rsid w:val="009D2062"/>
    <w:rsid w:val="009D25CA"/>
    <w:rsid w:val="009D4338"/>
    <w:rsid w:val="009D4B6E"/>
    <w:rsid w:val="009D542E"/>
    <w:rsid w:val="009D6DEC"/>
    <w:rsid w:val="009D76C4"/>
    <w:rsid w:val="009E0157"/>
    <w:rsid w:val="009E3A5B"/>
    <w:rsid w:val="009E5416"/>
    <w:rsid w:val="009E5BDD"/>
    <w:rsid w:val="009E66D0"/>
    <w:rsid w:val="009E6944"/>
    <w:rsid w:val="009F0F6C"/>
    <w:rsid w:val="009F1870"/>
    <w:rsid w:val="009F248E"/>
    <w:rsid w:val="009F27D8"/>
    <w:rsid w:val="009F5E31"/>
    <w:rsid w:val="009F77A8"/>
    <w:rsid w:val="00A0062E"/>
    <w:rsid w:val="00A00B8E"/>
    <w:rsid w:val="00A01B5E"/>
    <w:rsid w:val="00A0256D"/>
    <w:rsid w:val="00A02CBE"/>
    <w:rsid w:val="00A03A12"/>
    <w:rsid w:val="00A03AED"/>
    <w:rsid w:val="00A03B43"/>
    <w:rsid w:val="00A03FFB"/>
    <w:rsid w:val="00A04134"/>
    <w:rsid w:val="00A0708A"/>
    <w:rsid w:val="00A105FF"/>
    <w:rsid w:val="00A108CF"/>
    <w:rsid w:val="00A10DDF"/>
    <w:rsid w:val="00A11AAA"/>
    <w:rsid w:val="00A11C96"/>
    <w:rsid w:val="00A1394C"/>
    <w:rsid w:val="00A13CE2"/>
    <w:rsid w:val="00A14154"/>
    <w:rsid w:val="00A1463D"/>
    <w:rsid w:val="00A14F5F"/>
    <w:rsid w:val="00A15421"/>
    <w:rsid w:val="00A15763"/>
    <w:rsid w:val="00A16C41"/>
    <w:rsid w:val="00A17B26"/>
    <w:rsid w:val="00A213DF"/>
    <w:rsid w:val="00A21E80"/>
    <w:rsid w:val="00A22F3E"/>
    <w:rsid w:val="00A23163"/>
    <w:rsid w:val="00A23318"/>
    <w:rsid w:val="00A24DAE"/>
    <w:rsid w:val="00A25ABE"/>
    <w:rsid w:val="00A26D19"/>
    <w:rsid w:val="00A30910"/>
    <w:rsid w:val="00A30ECA"/>
    <w:rsid w:val="00A32370"/>
    <w:rsid w:val="00A350AC"/>
    <w:rsid w:val="00A3644E"/>
    <w:rsid w:val="00A36B54"/>
    <w:rsid w:val="00A371D8"/>
    <w:rsid w:val="00A37AF2"/>
    <w:rsid w:val="00A41732"/>
    <w:rsid w:val="00A41B28"/>
    <w:rsid w:val="00A4234D"/>
    <w:rsid w:val="00A431E9"/>
    <w:rsid w:val="00A4395A"/>
    <w:rsid w:val="00A469F6"/>
    <w:rsid w:val="00A50420"/>
    <w:rsid w:val="00A5094D"/>
    <w:rsid w:val="00A50E04"/>
    <w:rsid w:val="00A512B8"/>
    <w:rsid w:val="00A515DB"/>
    <w:rsid w:val="00A539E3"/>
    <w:rsid w:val="00A542DE"/>
    <w:rsid w:val="00A57FC8"/>
    <w:rsid w:val="00A60328"/>
    <w:rsid w:val="00A63732"/>
    <w:rsid w:val="00A64159"/>
    <w:rsid w:val="00A64203"/>
    <w:rsid w:val="00A6607C"/>
    <w:rsid w:val="00A661A9"/>
    <w:rsid w:val="00A6624D"/>
    <w:rsid w:val="00A66A69"/>
    <w:rsid w:val="00A70425"/>
    <w:rsid w:val="00A70893"/>
    <w:rsid w:val="00A71B52"/>
    <w:rsid w:val="00A71E0F"/>
    <w:rsid w:val="00A7228B"/>
    <w:rsid w:val="00A722F9"/>
    <w:rsid w:val="00A7621A"/>
    <w:rsid w:val="00A77417"/>
    <w:rsid w:val="00A77F5C"/>
    <w:rsid w:val="00A835A0"/>
    <w:rsid w:val="00A835A5"/>
    <w:rsid w:val="00A842F3"/>
    <w:rsid w:val="00A843F8"/>
    <w:rsid w:val="00A84551"/>
    <w:rsid w:val="00A85C75"/>
    <w:rsid w:val="00A90682"/>
    <w:rsid w:val="00A91450"/>
    <w:rsid w:val="00A9181D"/>
    <w:rsid w:val="00A92B9C"/>
    <w:rsid w:val="00A95CCC"/>
    <w:rsid w:val="00A96182"/>
    <w:rsid w:val="00AA0E2C"/>
    <w:rsid w:val="00AA1C12"/>
    <w:rsid w:val="00AA2F30"/>
    <w:rsid w:val="00AA3DEE"/>
    <w:rsid w:val="00AA5048"/>
    <w:rsid w:val="00AA69F7"/>
    <w:rsid w:val="00AA6CF3"/>
    <w:rsid w:val="00AA7687"/>
    <w:rsid w:val="00AB0E51"/>
    <w:rsid w:val="00AB473D"/>
    <w:rsid w:val="00AB5836"/>
    <w:rsid w:val="00AB5D65"/>
    <w:rsid w:val="00AB7D1B"/>
    <w:rsid w:val="00AC1E6B"/>
    <w:rsid w:val="00AC1FC1"/>
    <w:rsid w:val="00AC2910"/>
    <w:rsid w:val="00AC38C7"/>
    <w:rsid w:val="00AD055E"/>
    <w:rsid w:val="00AD2C54"/>
    <w:rsid w:val="00AD3EFB"/>
    <w:rsid w:val="00AD5A96"/>
    <w:rsid w:val="00AD5E30"/>
    <w:rsid w:val="00AE012E"/>
    <w:rsid w:val="00AE03D1"/>
    <w:rsid w:val="00AE09E7"/>
    <w:rsid w:val="00AE09EF"/>
    <w:rsid w:val="00AE3851"/>
    <w:rsid w:val="00AE3C51"/>
    <w:rsid w:val="00AE403E"/>
    <w:rsid w:val="00AE6E67"/>
    <w:rsid w:val="00AE7044"/>
    <w:rsid w:val="00AF00F4"/>
    <w:rsid w:val="00AF12B7"/>
    <w:rsid w:val="00AF16FA"/>
    <w:rsid w:val="00AF2B18"/>
    <w:rsid w:val="00AF4216"/>
    <w:rsid w:val="00AF5FC9"/>
    <w:rsid w:val="00AF649D"/>
    <w:rsid w:val="00B009E5"/>
    <w:rsid w:val="00B02EA4"/>
    <w:rsid w:val="00B034A5"/>
    <w:rsid w:val="00B05BC4"/>
    <w:rsid w:val="00B05D53"/>
    <w:rsid w:val="00B06F01"/>
    <w:rsid w:val="00B06F4D"/>
    <w:rsid w:val="00B072B4"/>
    <w:rsid w:val="00B0785B"/>
    <w:rsid w:val="00B104CA"/>
    <w:rsid w:val="00B112A2"/>
    <w:rsid w:val="00B11BA4"/>
    <w:rsid w:val="00B12302"/>
    <w:rsid w:val="00B14DF6"/>
    <w:rsid w:val="00B15168"/>
    <w:rsid w:val="00B16476"/>
    <w:rsid w:val="00B168BB"/>
    <w:rsid w:val="00B168D6"/>
    <w:rsid w:val="00B17528"/>
    <w:rsid w:val="00B21A09"/>
    <w:rsid w:val="00B22712"/>
    <w:rsid w:val="00B238FB"/>
    <w:rsid w:val="00B249F3"/>
    <w:rsid w:val="00B24CBC"/>
    <w:rsid w:val="00B25180"/>
    <w:rsid w:val="00B25C9B"/>
    <w:rsid w:val="00B25CE9"/>
    <w:rsid w:val="00B30C9B"/>
    <w:rsid w:val="00B312BA"/>
    <w:rsid w:val="00B31CDA"/>
    <w:rsid w:val="00B32702"/>
    <w:rsid w:val="00B32AE4"/>
    <w:rsid w:val="00B34443"/>
    <w:rsid w:val="00B345A9"/>
    <w:rsid w:val="00B352B5"/>
    <w:rsid w:val="00B35759"/>
    <w:rsid w:val="00B35B5D"/>
    <w:rsid w:val="00B36A0A"/>
    <w:rsid w:val="00B37968"/>
    <w:rsid w:val="00B405B3"/>
    <w:rsid w:val="00B40AC3"/>
    <w:rsid w:val="00B41BA2"/>
    <w:rsid w:val="00B42F9D"/>
    <w:rsid w:val="00B46F77"/>
    <w:rsid w:val="00B517E3"/>
    <w:rsid w:val="00B51E4C"/>
    <w:rsid w:val="00B52817"/>
    <w:rsid w:val="00B5353D"/>
    <w:rsid w:val="00B55759"/>
    <w:rsid w:val="00B55779"/>
    <w:rsid w:val="00B56D52"/>
    <w:rsid w:val="00B57923"/>
    <w:rsid w:val="00B601F7"/>
    <w:rsid w:val="00B611ED"/>
    <w:rsid w:val="00B63468"/>
    <w:rsid w:val="00B64B60"/>
    <w:rsid w:val="00B65E56"/>
    <w:rsid w:val="00B7259A"/>
    <w:rsid w:val="00B72F25"/>
    <w:rsid w:val="00B737E5"/>
    <w:rsid w:val="00B76972"/>
    <w:rsid w:val="00B775D5"/>
    <w:rsid w:val="00B77B05"/>
    <w:rsid w:val="00B82544"/>
    <w:rsid w:val="00B83037"/>
    <w:rsid w:val="00B84522"/>
    <w:rsid w:val="00B86709"/>
    <w:rsid w:val="00B871C4"/>
    <w:rsid w:val="00B8753C"/>
    <w:rsid w:val="00B92D7D"/>
    <w:rsid w:val="00B9352F"/>
    <w:rsid w:val="00B93AA6"/>
    <w:rsid w:val="00B93C52"/>
    <w:rsid w:val="00B94E24"/>
    <w:rsid w:val="00B9636A"/>
    <w:rsid w:val="00B96E1F"/>
    <w:rsid w:val="00B971A1"/>
    <w:rsid w:val="00B97619"/>
    <w:rsid w:val="00B97CC3"/>
    <w:rsid w:val="00BA1281"/>
    <w:rsid w:val="00BA14E5"/>
    <w:rsid w:val="00BA25E7"/>
    <w:rsid w:val="00BA5590"/>
    <w:rsid w:val="00BA646F"/>
    <w:rsid w:val="00BA680E"/>
    <w:rsid w:val="00BA7305"/>
    <w:rsid w:val="00BB171D"/>
    <w:rsid w:val="00BB1CF2"/>
    <w:rsid w:val="00BB1D21"/>
    <w:rsid w:val="00BB1E65"/>
    <w:rsid w:val="00BB1F76"/>
    <w:rsid w:val="00BB284E"/>
    <w:rsid w:val="00BB51A1"/>
    <w:rsid w:val="00BB6DEF"/>
    <w:rsid w:val="00BB6E83"/>
    <w:rsid w:val="00BB7C2E"/>
    <w:rsid w:val="00BC0CE5"/>
    <w:rsid w:val="00BC4036"/>
    <w:rsid w:val="00BC581C"/>
    <w:rsid w:val="00BC686F"/>
    <w:rsid w:val="00BD117F"/>
    <w:rsid w:val="00BD2C07"/>
    <w:rsid w:val="00BD5882"/>
    <w:rsid w:val="00BD5C37"/>
    <w:rsid w:val="00BD70E9"/>
    <w:rsid w:val="00BE096C"/>
    <w:rsid w:val="00BE0F83"/>
    <w:rsid w:val="00BE2343"/>
    <w:rsid w:val="00BE2A0B"/>
    <w:rsid w:val="00BE4393"/>
    <w:rsid w:val="00BE6DF8"/>
    <w:rsid w:val="00BE7EC3"/>
    <w:rsid w:val="00BF2CC1"/>
    <w:rsid w:val="00BF4EF0"/>
    <w:rsid w:val="00BF6D79"/>
    <w:rsid w:val="00BF75CA"/>
    <w:rsid w:val="00C01BE8"/>
    <w:rsid w:val="00C0229D"/>
    <w:rsid w:val="00C03413"/>
    <w:rsid w:val="00C05048"/>
    <w:rsid w:val="00C05E76"/>
    <w:rsid w:val="00C06DDB"/>
    <w:rsid w:val="00C07003"/>
    <w:rsid w:val="00C10B2E"/>
    <w:rsid w:val="00C113FE"/>
    <w:rsid w:val="00C1370A"/>
    <w:rsid w:val="00C13D65"/>
    <w:rsid w:val="00C174F4"/>
    <w:rsid w:val="00C1770F"/>
    <w:rsid w:val="00C17C0D"/>
    <w:rsid w:val="00C21DC0"/>
    <w:rsid w:val="00C23B53"/>
    <w:rsid w:val="00C240D4"/>
    <w:rsid w:val="00C2493D"/>
    <w:rsid w:val="00C27EEC"/>
    <w:rsid w:val="00C32ACE"/>
    <w:rsid w:val="00C35229"/>
    <w:rsid w:val="00C3597A"/>
    <w:rsid w:val="00C41538"/>
    <w:rsid w:val="00C449B6"/>
    <w:rsid w:val="00C4565D"/>
    <w:rsid w:val="00C45BE8"/>
    <w:rsid w:val="00C45DE0"/>
    <w:rsid w:val="00C47702"/>
    <w:rsid w:val="00C516F6"/>
    <w:rsid w:val="00C519AE"/>
    <w:rsid w:val="00C5331A"/>
    <w:rsid w:val="00C54A43"/>
    <w:rsid w:val="00C5588B"/>
    <w:rsid w:val="00C5726B"/>
    <w:rsid w:val="00C574A9"/>
    <w:rsid w:val="00C61328"/>
    <w:rsid w:val="00C61C4D"/>
    <w:rsid w:val="00C62A10"/>
    <w:rsid w:val="00C62A44"/>
    <w:rsid w:val="00C64582"/>
    <w:rsid w:val="00C64629"/>
    <w:rsid w:val="00C65D1E"/>
    <w:rsid w:val="00C66571"/>
    <w:rsid w:val="00C7174E"/>
    <w:rsid w:val="00C7385D"/>
    <w:rsid w:val="00C739DF"/>
    <w:rsid w:val="00C73CA6"/>
    <w:rsid w:val="00C743E9"/>
    <w:rsid w:val="00C7495C"/>
    <w:rsid w:val="00C75685"/>
    <w:rsid w:val="00C758D5"/>
    <w:rsid w:val="00C80719"/>
    <w:rsid w:val="00C81317"/>
    <w:rsid w:val="00C819A2"/>
    <w:rsid w:val="00C83DB4"/>
    <w:rsid w:val="00C86547"/>
    <w:rsid w:val="00C93DC0"/>
    <w:rsid w:val="00C9544A"/>
    <w:rsid w:val="00C96E16"/>
    <w:rsid w:val="00C9706E"/>
    <w:rsid w:val="00C97892"/>
    <w:rsid w:val="00CA01C1"/>
    <w:rsid w:val="00CA0BC2"/>
    <w:rsid w:val="00CA1459"/>
    <w:rsid w:val="00CA225A"/>
    <w:rsid w:val="00CA318C"/>
    <w:rsid w:val="00CA328C"/>
    <w:rsid w:val="00CA3CB8"/>
    <w:rsid w:val="00CA3E80"/>
    <w:rsid w:val="00CA5332"/>
    <w:rsid w:val="00CA740D"/>
    <w:rsid w:val="00CB0AB4"/>
    <w:rsid w:val="00CB0F6C"/>
    <w:rsid w:val="00CB1374"/>
    <w:rsid w:val="00CB18D2"/>
    <w:rsid w:val="00CB2327"/>
    <w:rsid w:val="00CB4D3F"/>
    <w:rsid w:val="00CB5E63"/>
    <w:rsid w:val="00CB74ED"/>
    <w:rsid w:val="00CC0C85"/>
    <w:rsid w:val="00CC128A"/>
    <w:rsid w:val="00CC1BEE"/>
    <w:rsid w:val="00CC1C5C"/>
    <w:rsid w:val="00CC43F4"/>
    <w:rsid w:val="00CC68B1"/>
    <w:rsid w:val="00CC73A3"/>
    <w:rsid w:val="00CD0938"/>
    <w:rsid w:val="00CD287C"/>
    <w:rsid w:val="00CD5A5C"/>
    <w:rsid w:val="00CD7245"/>
    <w:rsid w:val="00CD7A96"/>
    <w:rsid w:val="00CE156C"/>
    <w:rsid w:val="00CE1B8B"/>
    <w:rsid w:val="00CE2800"/>
    <w:rsid w:val="00CE3BB2"/>
    <w:rsid w:val="00CE3BD2"/>
    <w:rsid w:val="00CE7E68"/>
    <w:rsid w:val="00CF026B"/>
    <w:rsid w:val="00CF6411"/>
    <w:rsid w:val="00D00D4D"/>
    <w:rsid w:val="00D02344"/>
    <w:rsid w:val="00D0366B"/>
    <w:rsid w:val="00D0398B"/>
    <w:rsid w:val="00D04288"/>
    <w:rsid w:val="00D06085"/>
    <w:rsid w:val="00D06495"/>
    <w:rsid w:val="00D06608"/>
    <w:rsid w:val="00D07C9E"/>
    <w:rsid w:val="00D1002E"/>
    <w:rsid w:val="00D11E3A"/>
    <w:rsid w:val="00D120F4"/>
    <w:rsid w:val="00D12612"/>
    <w:rsid w:val="00D13AEE"/>
    <w:rsid w:val="00D1412B"/>
    <w:rsid w:val="00D147E6"/>
    <w:rsid w:val="00D148B9"/>
    <w:rsid w:val="00D14B65"/>
    <w:rsid w:val="00D14CFF"/>
    <w:rsid w:val="00D20BA4"/>
    <w:rsid w:val="00D21A14"/>
    <w:rsid w:val="00D22921"/>
    <w:rsid w:val="00D2297E"/>
    <w:rsid w:val="00D22A3A"/>
    <w:rsid w:val="00D265AC"/>
    <w:rsid w:val="00D272B2"/>
    <w:rsid w:val="00D27C73"/>
    <w:rsid w:val="00D27FAD"/>
    <w:rsid w:val="00D30154"/>
    <w:rsid w:val="00D3159C"/>
    <w:rsid w:val="00D318A3"/>
    <w:rsid w:val="00D32412"/>
    <w:rsid w:val="00D355E9"/>
    <w:rsid w:val="00D365FE"/>
    <w:rsid w:val="00D42A7A"/>
    <w:rsid w:val="00D42CB8"/>
    <w:rsid w:val="00D45647"/>
    <w:rsid w:val="00D45887"/>
    <w:rsid w:val="00D461A5"/>
    <w:rsid w:val="00D4711C"/>
    <w:rsid w:val="00D472B8"/>
    <w:rsid w:val="00D51817"/>
    <w:rsid w:val="00D51BF8"/>
    <w:rsid w:val="00D52285"/>
    <w:rsid w:val="00D52416"/>
    <w:rsid w:val="00D52927"/>
    <w:rsid w:val="00D55496"/>
    <w:rsid w:val="00D566E6"/>
    <w:rsid w:val="00D5741D"/>
    <w:rsid w:val="00D60FB8"/>
    <w:rsid w:val="00D623BE"/>
    <w:rsid w:val="00D62A32"/>
    <w:rsid w:val="00D63A66"/>
    <w:rsid w:val="00D647E0"/>
    <w:rsid w:val="00D64CBD"/>
    <w:rsid w:val="00D66957"/>
    <w:rsid w:val="00D70E42"/>
    <w:rsid w:val="00D71344"/>
    <w:rsid w:val="00D72D00"/>
    <w:rsid w:val="00D735A8"/>
    <w:rsid w:val="00D73BE2"/>
    <w:rsid w:val="00D7466A"/>
    <w:rsid w:val="00D7566F"/>
    <w:rsid w:val="00D760FA"/>
    <w:rsid w:val="00D76A54"/>
    <w:rsid w:val="00D8043C"/>
    <w:rsid w:val="00D83EBB"/>
    <w:rsid w:val="00D84607"/>
    <w:rsid w:val="00D85A11"/>
    <w:rsid w:val="00D8695D"/>
    <w:rsid w:val="00D90901"/>
    <w:rsid w:val="00D917BD"/>
    <w:rsid w:val="00D9295C"/>
    <w:rsid w:val="00D950C0"/>
    <w:rsid w:val="00DA168A"/>
    <w:rsid w:val="00DA43DF"/>
    <w:rsid w:val="00DA6218"/>
    <w:rsid w:val="00DB03F9"/>
    <w:rsid w:val="00DB0473"/>
    <w:rsid w:val="00DB1BF6"/>
    <w:rsid w:val="00DB229D"/>
    <w:rsid w:val="00DB2E37"/>
    <w:rsid w:val="00DB3742"/>
    <w:rsid w:val="00DB5C23"/>
    <w:rsid w:val="00DB67A9"/>
    <w:rsid w:val="00DB7800"/>
    <w:rsid w:val="00DC06E0"/>
    <w:rsid w:val="00DC1060"/>
    <w:rsid w:val="00DC2CF7"/>
    <w:rsid w:val="00DC406D"/>
    <w:rsid w:val="00DC4960"/>
    <w:rsid w:val="00DC4DB6"/>
    <w:rsid w:val="00DC6D60"/>
    <w:rsid w:val="00DC7CA9"/>
    <w:rsid w:val="00DD0F3A"/>
    <w:rsid w:val="00DD26DB"/>
    <w:rsid w:val="00DD3C63"/>
    <w:rsid w:val="00DD65CE"/>
    <w:rsid w:val="00DD714D"/>
    <w:rsid w:val="00DD7774"/>
    <w:rsid w:val="00DE00F9"/>
    <w:rsid w:val="00DE02FB"/>
    <w:rsid w:val="00DE085F"/>
    <w:rsid w:val="00DE1042"/>
    <w:rsid w:val="00DE286A"/>
    <w:rsid w:val="00DE4599"/>
    <w:rsid w:val="00DE47CD"/>
    <w:rsid w:val="00DE4A61"/>
    <w:rsid w:val="00DE5E47"/>
    <w:rsid w:val="00DE6016"/>
    <w:rsid w:val="00DF012D"/>
    <w:rsid w:val="00DF2E87"/>
    <w:rsid w:val="00DF30AB"/>
    <w:rsid w:val="00DF3F87"/>
    <w:rsid w:val="00DF404D"/>
    <w:rsid w:val="00DF4FB9"/>
    <w:rsid w:val="00DF607D"/>
    <w:rsid w:val="00DF78CE"/>
    <w:rsid w:val="00E01F31"/>
    <w:rsid w:val="00E040E1"/>
    <w:rsid w:val="00E041E2"/>
    <w:rsid w:val="00E044D2"/>
    <w:rsid w:val="00E0536C"/>
    <w:rsid w:val="00E053F8"/>
    <w:rsid w:val="00E06ADF"/>
    <w:rsid w:val="00E1205A"/>
    <w:rsid w:val="00E12670"/>
    <w:rsid w:val="00E12D0F"/>
    <w:rsid w:val="00E140C8"/>
    <w:rsid w:val="00E14342"/>
    <w:rsid w:val="00E145F9"/>
    <w:rsid w:val="00E14ECC"/>
    <w:rsid w:val="00E14EFA"/>
    <w:rsid w:val="00E15327"/>
    <w:rsid w:val="00E16094"/>
    <w:rsid w:val="00E21EA4"/>
    <w:rsid w:val="00E2282C"/>
    <w:rsid w:val="00E22D29"/>
    <w:rsid w:val="00E235F1"/>
    <w:rsid w:val="00E24EFC"/>
    <w:rsid w:val="00E27CE3"/>
    <w:rsid w:val="00E30A77"/>
    <w:rsid w:val="00E30BDF"/>
    <w:rsid w:val="00E339D7"/>
    <w:rsid w:val="00E35FEB"/>
    <w:rsid w:val="00E36E2D"/>
    <w:rsid w:val="00E36EA3"/>
    <w:rsid w:val="00E37A18"/>
    <w:rsid w:val="00E37E7F"/>
    <w:rsid w:val="00E406F5"/>
    <w:rsid w:val="00E41576"/>
    <w:rsid w:val="00E41879"/>
    <w:rsid w:val="00E43DFD"/>
    <w:rsid w:val="00E43E3B"/>
    <w:rsid w:val="00E443D1"/>
    <w:rsid w:val="00E44ECC"/>
    <w:rsid w:val="00E457C0"/>
    <w:rsid w:val="00E5206F"/>
    <w:rsid w:val="00E5287F"/>
    <w:rsid w:val="00E53299"/>
    <w:rsid w:val="00E55BA1"/>
    <w:rsid w:val="00E56CEB"/>
    <w:rsid w:val="00E5741F"/>
    <w:rsid w:val="00E600A6"/>
    <w:rsid w:val="00E60371"/>
    <w:rsid w:val="00E6438E"/>
    <w:rsid w:val="00E6556E"/>
    <w:rsid w:val="00E66F6D"/>
    <w:rsid w:val="00E66FAA"/>
    <w:rsid w:val="00E73275"/>
    <w:rsid w:val="00E7341D"/>
    <w:rsid w:val="00E73C85"/>
    <w:rsid w:val="00E74442"/>
    <w:rsid w:val="00E74548"/>
    <w:rsid w:val="00E74856"/>
    <w:rsid w:val="00E76A6D"/>
    <w:rsid w:val="00E83012"/>
    <w:rsid w:val="00E832A9"/>
    <w:rsid w:val="00E84ABD"/>
    <w:rsid w:val="00E85100"/>
    <w:rsid w:val="00E8536C"/>
    <w:rsid w:val="00E85435"/>
    <w:rsid w:val="00E8642F"/>
    <w:rsid w:val="00E90177"/>
    <w:rsid w:val="00E93418"/>
    <w:rsid w:val="00E94DE4"/>
    <w:rsid w:val="00E95543"/>
    <w:rsid w:val="00E95711"/>
    <w:rsid w:val="00E95CFB"/>
    <w:rsid w:val="00EA0ED6"/>
    <w:rsid w:val="00EA1426"/>
    <w:rsid w:val="00EA19B7"/>
    <w:rsid w:val="00EA1E5A"/>
    <w:rsid w:val="00EA1F5F"/>
    <w:rsid w:val="00EA1F64"/>
    <w:rsid w:val="00EA34D8"/>
    <w:rsid w:val="00EA3F41"/>
    <w:rsid w:val="00EA57B5"/>
    <w:rsid w:val="00EA668A"/>
    <w:rsid w:val="00EA7F95"/>
    <w:rsid w:val="00EB02AE"/>
    <w:rsid w:val="00EB04F0"/>
    <w:rsid w:val="00EB0F95"/>
    <w:rsid w:val="00EB1B7B"/>
    <w:rsid w:val="00EB1D41"/>
    <w:rsid w:val="00EB21FE"/>
    <w:rsid w:val="00EB28C3"/>
    <w:rsid w:val="00EB29B6"/>
    <w:rsid w:val="00EB3363"/>
    <w:rsid w:val="00EB3D92"/>
    <w:rsid w:val="00EB577E"/>
    <w:rsid w:val="00EB5C26"/>
    <w:rsid w:val="00EB606D"/>
    <w:rsid w:val="00EB6959"/>
    <w:rsid w:val="00EB7065"/>
    <w:rsid w:val="00EC009C"/>
    <w:rsid w:val="00EC0FBD"/>
    <w:rsid w:val="00EC4245"/>
    <w:rsid w:val="00EC705D"/>
    <w:rsid w:val="00EC72CD"/>
    <w:rsid w:val="00EC7B87"/>
    <w:rsid w:val="00ED1E34"/>
    <w:rsid w:val="00ED2FEB"/>
    <w:rsid w:val="00ED30A8"/>
    <w:rsid w:val="00ED3677"/>
    <w:rsid w:val="00ED3B66"/>
    <w:rsid w:val="00ED45C8"/>
    <w:rsid w:val="00ED6468"/>
    <w:rsid w:val="00ED6654"/>
    <w:rsid w:val="00ED6D81"/>
    <w:rsid w:val="00EE1440"/>
    <w:rsid w:val="00EE59CA"/>
    <w:rsid w:val="00EE5F63"/>
    <w:rsid w:val="00EE66AD"/>
    <w:rsid w:val="00EE6CA6"/>
    <w:rsid w:val="00EE7030"/>
    <w:rsid w:val="00EE7446"/>
    <w:rsid w:val="00EE7B8A"/>
    <w:rsid w:val="00EE7FCF"/>
    <w:rsid w:val="00EF0316"/>
    <w:rsid w:val="00EF0E57"/>
    <w:rsid w:val="00F010FA"/>
    <w:rsid w:val="00F02C09"/>
    <w:rsid w:val="00F03601"/>
    <w:rsid w:val="00F05A22"/>
    <w:rsid w:val="00F07EC0"/>
    <w:rsid w:val="00F10972"/>
    <w:rsid w:val="00F10ED4"/>
    <w:rsid w:val="00F11AAF"/>
    <w:rsid w:val="00F11F1F"/>
    <w:rsid w:val="00F12989"/>
    <w:rsid w:val="00F12FD4"/>
    <w:rsid w:val="00F13F82"/>
    <w:rsid w:val="00F155CA"/>
    <w:rsid w:val="00F17C3E"/>
    <w:rsid w:val="00F17E13"/>
    <w:rsid w:val="00F2016F"/>
    <w:rsid w:val="00F22412"/>
    <w:rsid w:val="00F242CB"/>
    <w:rsid w:val="00F26E2A"/>
    <w:rsid w:val="00F27CAE"/>
    <w:rsid w:val="00F324D4"/>
    <w:rsid w:val="00F3303F"/>
    <w:rsid w:val="00F33DD3"/>
    <w:rsid w:val="00F355AD"/>
    <w:rsid w:val="00F40989"/>
    <w:rsid w:val="00F421E7"/>
    <w:rsid w:val="00F443B5"/>
    <w:rsid w:val="00F4444C"/>
    <w:rsid w:val="00F44914"/>
    <w:rsid w:val="00F4513E"/>
    <w:rsid w:val="00F451E4"/>
    <w:rsid w:val="00F455E3"/>
    <w:rsid w:val="00F50A60"/>
    <w:rsid w:val="00F50D29"/>
    <w:rsid w:val="00F5108A"/>
    <w:rsid w:val="00F513D1"/>
    <w:rsid w:val="00F545BD"/>
    <w:rsid w:val="00F569E5"/>
    <w:rsid w:val="00F60D24"/>
    <w:rsid w:val="00F61741"/>
    <w:rsid w:val="00F61D00"/>
    <w:rsid w:val="00F64924"/>
    <w:rsid w:val="00F65315"/>
    <w:rsid w:val="00F67208"/>
    <w:rsid w:val="00F72758"/>
    <w:rsid w:val="00F7647E"/>
    <w:rsid w:val="00F767F0"/>
    <w:rsid w:val="00F771BA"/>
    <w:rsid w:val="00F774CC"/>
    <w:rsid w:val="00F7784D"/>
    <w:rsid w:val="00F805EC"/>
    <w:rsid w:val="00F8274D"/>
    <w:rsid w:val="00F82B69"/>
    <w:rsid w:val="00F83A2A"/>
    <w:rsid w:val="00F85383"/>
    <w:rsid w:val="00F85FE1"/>
    <w:rsid w:val="00F86903"/>
    <w:rsid w:val="00F8782B"/>
    <w:rsid w:val="00F92F12"/>
    <w:rsid w:val="00F931A6"/>
    <w:rsid w:val="00F93591"/>
    <w:rsid w:val="00F93BB5"/>
    <w:rsid w:val="00F94ECD"/>
    <w:rsid w:val="00F96A9C"/>
    <w:rsid w:val="00FA0898"/>
    <w:rsid w:val="00FA0CBB"/>
    <w:rsid w:val="00FA2BD7"/>
    <w:rsid w:val="00FA3BDB"/>
    <w:rsid w:val="00FA469C"/>
    <w:rsid w:val="00FA5E52"/>
    <w:rsid w:val="00FA6E99"/>
    <w:rsid w:val="00FA7A9B"/>
    <w:rsid w:val="00FB321E"/>
    <w:rsid w:val="00FB44A6"/>
    <w:rsid w:val="00FC29C1"/>
    <w:rsid w:val="00FC3305"/>
    <w:rsid w:val="00FC4CE5"/>
    <w:rsid w:val="00FC67BC"/>
    <w:rsid w:val="00FC71D4"/>
    <w:rsid w:val="00FC79C3"/>
    <w:rsid w:val="00FC7CC0"/>
    <w:rsid w:val="00FD0215"/>
    <w:rsid w:val="00FD2E4C"/>
    <w:rsid w:val="00FD3C3B"/>
    <w:rsid w:val="00FD685F"/>
    <w:rsid w:val="00FE168D"/>
    <w:rsid w:val="00FE2768"/>
    <w:rsid w:val="00FE46B8"/>
    <w:rsid w:val="00FE5713"/>
    <w:rsid w:val="00FE5CDA"/>
    <w:rsid w:val="00FE5DB7"/>
    <w:rsid w:val="00FE62A3"/>
    <w:rsid w:val="00FE65FE"/>
    <w:rsid w:val="00FE7C5C"/>
    <w:rsid w:val="00FF210C"/>
    <w:rsid w:val="00FF219B"/>
    <w:rsid w:val="00FF36D8"/>
    <w:rsid w:val="00FF4F03"/>
    <w:rsid w:val="00FF614E"/>
    <w:rsid w:val="00FF6342"/>
    <w:rsid w:val="00FF6841"/>
    <w:rsid w:val="00FF6C0A"/>
    <w:rsid w:val="00FF7696"/>
    <w:rsid w:val="00FF7BA7"/>
    <w:rsid w:val="7D8F67C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99" w:semiHidden="0" w:name="header"/>
    <w:lsdException w:unhideWhenUsed="0" w:uiPriority="99" w:semiHidden="0" w:name="footer"/>
    <w:lsdException w:uiPriority="0" w:name="index heading"/>
    <w:lsdException w:qFormat="1" w:unhideWhenUsed="0" w:uiPriority="99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iPriority="0" w:name="Block Text"/>
    <w:lsdException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43"/>
    <w:qFormat/>
    <w:uiPriority w:val="0"/>
    <w:pPr>
      <w:keepNext/>
      <w:outlineLvl w:val="1"/>
    </w:pPr>
    <w:rPr>
      <w:szCs w:val="20"/>
    </w:rPr>
  </w:style>
  <w:style w:type="paragraph" w:styleId="4">
    <w:name w:val="heading 3"/>
    <w:basedOn w:val="1"/>
    <w:next w:val="1"/>
    <w:link w:val="44"/>
    <w:qFormat/>
    <w:uiPriority w:val="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6"/>
    <w:basedOn w:val="1"/>
    <w:next w:val="1"/>
    <w:link w:val="45"/>
    <w:qFormat/>
    <w:uiPriority w:val="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uiPriority w:val="0"/>
    <w:rPr>
      <w:color w:val="0000FF"/>
      <w:u w:val="none"/>
    </w:rPr>
  </w:style>
  <w:style w:type="character" w:styleId="9">
    <w:name w:val="page number"/>
    <w:uiPriority w:val="0"/>
    <w:rPr>
      <w:rFonts w:cs="Times New Roman"/>
    </w:rPr>
  </w:style>
  <w:style w:type="paragraph" w:styleId="10">
    <w:name w:val="Balloon Text"/>
    <w:basedOn w:val="1"/>
    <w:link w:val="41"/>
    <w:uiPriority w:val="0"/>
    <w:rPr>
      <w:rFonts w:ascii="Segoe UI" w:hAnsi="Segoe UI" w:cs="Segoe UI"/>
      <w:sz w:val="18"/>
      <w:szCs w:val="18"/>
    </w:rPr>
  </w:style>
  <w:style w:type="paragraph" w:styleId="11">
    <w:name w:val="Body Text 2"/>
    <w:basedOn w:val="1"/>
    <w:link w:val="47"/>
    <w:uiPriority w:val="0"/>
    <w:pPr>
      <w:spacing w:after="120" w:line="480" w:lineRule="auto"/>
    </w:pPr>
    <w:rPr>
      <w:rFonts w:ascii="Arial" w:hAnsi="Arial"/>
      <w:sz w:val="22"/>
      <w:szCs w:val="22"/>
    </w:rPr>
  </w:style>
  <w:style w:type="paragraph" w:styleId="12">
    <w:name w:val="Body Text Indent 3"/>
    <w:basedOn w:val="1"/>
    <w:link w:val="57"/>
    <w:uiPriority w:val="0"/>
    <w:pPr>
      <w:autoSpaceDE w:val="0"/>
      <w:autoSpaceDN w:val="0"/>
      <w:ind w:firstLine="360"/>
      <w:jc w:val="both"/>
    </w:pPr>
    <w:rPr>
      <w:szCs w:val="20"/>
    </w:rPr>
  </w:style>
  <w:style w:type="paragraph" w:styleId="13">
    <w:name w:val="caption"/>
    <w:basedOn w:val="1"/>
    <w:next w:val="1"/>
    <w:qFormat/>
    <w:uiPriority w:val="99"/>
  </w:style>
  <w:style w:type="paragraph" w:styleId="14">
    <w:name w:val="header"/>
    <w:basedOn w:val="1"/>
    <w:link w:val="30"/>
    <w:uiPriority w:val="99"/>
    <w:pPr>
      <w:tabs>
        <w:tab w:val="center" w:pos="4677"/>
        <w:tab w:val="right" w:pos="9355"/>
      </w:tabs>
    </w:pPr>
  </w:style>
  <w:style w:type="paragraph" w:styleId="15">
    <w:name w:val="Body Text"/>
    <w:basedOn w:val="1"/>
    <w:link w:val="24"/>
    <w:uiPriority w:val="0"/>
    <w:pPr>
      <w:jc w:val="both"/>
    </w:pPr>
    <w:rPr>
      <w:sz w:val="28"/>
      <w:szCs w:val="28"/>
    </w:rPr>
  </w:style>
  <w:style w:type="paragraph" w:styleId="16">
    <w:name w:val="Body Text Indent"/>
    <w:basedOn w:val="1"/>
    <w:link w:val="27"/>
    <w:uiPriority w:val="0"/>
    <w:pPr>
      <w:spacing w:after="120"/>
      <w:ind w:left="283"/>
    </w:pPr>
  </w:style>
  <w:style w:type="paragraph" w:styleId="17">
    <w:name w:val="Title"/>
    <w:basedOn w:val="1"/>
    <w:link w:val="49"/>
    <w:qFormat/>
    <w:uiPriority w:val="0"/>
    <w:pPr>
      <w:jc w:val="center"/>
    </w:pPr>
    <w:rPr>
      <w:sz w:val="28"/>
      <w:szCs w:val="20"/>
    </w:rPr>
  </w:style>
  <w:style w:type="paragraph" w:styleId="18">
    <w:name w:val="footer"/>
    <w:basedOn w:val="1"/>
    <w:link w:val="29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19">
    <w:name w:val="Normal (Web)"/>
    <w:basedOn w:val="1"/>
    <w:link w:val="42"/>
    <w:uiPriority w:val="99"/>
    <w:pPr>
      <w:spacing w:before="100" w:beforeAutospacing="1" w:after="100" w:afterAutospacing="1"/>
      <w:jc w:val="both"/>
    </w:pPr>
    <w:rPr>
      <w:rFonts w:ascii="Arial" w:hAnsi="Arial"/>
      <w:color w:val="000000"/>
      <w:sz w:val="16"/>
      <w:szCs w:val="16"/>
    </w:rPr>
  </w:style>
  <w:style w:type="paragraph" w:styleId="20">
    <w:name w:val="Body Text 3"/>
    <w:basedOn w:val="1"/>
    <w:link w:val="48"/>
    <w:uiPriority w:val="0"/>
    <w:pPr>
      <w:spacing w:after="120"/>
    </w:pPr>
    <w:rPr>
      <w:rFonts w:ascii="Arial" w:hAnsi="Arial"/>
      <w:sz w:val="16"/>
      <w:szCs w:val="16"/>
    </w:rPr>
  </w:style>
  <w:style w:type="paragraph" w:styleId="21">
    <w:name w:val="Body Text Indent 2"/>
    <w:basedOn w:val="1"/>
    <w:link w:val="28"/>
    <w:uiPriority w:val="0"/>
    <w:pPr>
      <w:spacing w:after="120" w:line="480" w:lineRule="auto"/>
      <w:ind w:left="283"/>
    </w:pPr>
    <w:rPr>
      <w:sz w:val="28"/>
      <w:szCs w:val="28"/>
    </w:rPr>
  </w:style>
  <w:style w:type="table" w:styleId="22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Заголовок 1 Знак"/>
    <w:link w:val="2"/>
    <w:locked/>
    <w:uiPriority w:val="0"/>
    <w:rPr>
      <w:rFonts w:ascii="Cambria" w:hAnsi="Cambria" w:cs="Cambria"/>
      <w:b/>
      <w:bCs/>
      <w:kern w:val="32"/>
      <w:sz w:val="32"/>
      <w:szCs w:val="32"/>
      <w:lang w:val="ru-RU" w:eastAsia="ru-RU" w:bidi="ar-SA"/>
    </w:rPr>
  </w:style>
  <w:style w:type="character" w:customStyle="1" w:styleId="24">
    <w:name w:val="Основной текст Знак"/>
    <w:link w:val="15"/>
    <w:locked/>
    <w:uiPriority w:val="0"/>
    <w:rPr>
      <w:sz w:val="28"/>
      <w:szCs w:val="28"/>
      <w:lang w:val="ru-RU" w:eastAsia="ru-RU" w:bidi="ar-SA"/>
    </w:rPr>
  </w:style>
  <w:style w:type="paragraph" w:customStyle="1" w:styleId="25">
    <w:name w:val="Название1"/>
    <w:basedOn w:val="1"/>
    <w:link w:val="26"/>
    <w:qFormat/>
    <w:uiPriority w:val="0"/>
    <w:pPr>
      <w:ind w:firstLine="900"/>
      <w:jc w:val="center"/>
    </w:pPr>
    <w:rPr>
      <w:b/>
      <w:bCs/>
      <w:sz w:val="28"/>
      <w:szCs w:val="28"/>
    </w:rPr>
  </w:style>
  <w:style w:type="character" w:customStyle="1" w:styleId="26">
    <w:name w:val="Название Знак"/>
    <w:link w:val="25"/>
    <w:locked/>
    <w:uiPriority w:val="0"/>
    <w:rPr>
      <w:b/>
      <w:bCs/>
      <w:sz w:val="28"/>
      <w:szCs w:val="28"/>
      <w:lang w:val="ru-RU" w:eastAsia="ru-RU" w:bidi="ar-SA"/>
    </w:rPr>
  </w:style>
  <w:style w:type="character" w:customStyle="1" w:styleId="27">
    <w:name w:val="Основной текст с отступом Знак"/>
    <w:link w:val="16"/>
    <w:locked/>
    <w:uiPriority w:val="0"/>
    <w:rPr>
      <w:sz w:val="24"/>
      <w:szCs w:val="24"/>
      <w:lang w:val="ru-RU" w:eastAsia="ru-RU" w:bidi="ar-SA"/>
    </w:rPr>
  </w:style>
  <w:style w:type="character" w:customStyle="1" w:styleId="28">
    <w:name w:val="Основной текст с отступом 2 Знак"/>
    <w:link w:val="21"/>
    <w:locked/>
    <w:uiPriority w:val="0"/>
    <w:rPr>
      <w:sz w:val="28"/>
      <w:szCs w:val="28"/>
      <w:lang w:val="ru-RU" w:eastAsia="ru-RU" w:bidi="ar-SA"/>
    </w:rPr>
  </w:style>
  <w:style w:type="character" w:customStyle="1" w:styleId="29">
    <w:name w:val="Нижний колонтитул Знак"/>
    <w:link w:val="18"/>
    <w:locked/>
    <w:uiPriority w:val="99"/>
    <w:rPr>
      <w:lang w:val="ru-RU" w:eastAsia="ru-RU" w:bidi="ar-SA"/>
    </w:rPr>
  </w:style>
  <w:style w:type="character" w:customStyle="1" w:styleId="30">
    <w:name w:val="Верхний колонтитул Знак"/>
    <w:link w:val="14"/>
    <w:locked/>
    <w:uiPriority w:val="99"/>
    <w:rPr>
      <w:sz w:val="24"/>
      <w:szCs w:val="24"/>
      <w:lang w:val="ru-RU" w:eastAsia="ru-RU" w:bidi="ar-SA"/>
    </w:rPr>
  </w:style>
  <w:style w:type="paragraph" w:customStyle="1" w:styleId="31">
    <w:name w:val="Без интервала1"/>
    <w:link w:val="32"/>
    <w:uiPriority w:val="0"/>
    <w:pPr>
      <w:suppressAutoHyphens/>
    </w:pPr>
    <w:rPr>
      <w:rFonts w:ascii="Calibri" w:hAnsi="Calibri" w:eastAsia="Times New Roman" w:cs="Calibri"/>
      <w:sz w:val="22"/>
      <w:szCs w:val="22"/>
      <w:lang w:val="ru-RU" w:eastAsia="ar-SA" w:bidi="ar-SA"/>
    </w:rPr>
  </w:style>
  <w:style w:type="character" w:customStyle="1" w:styleId="32">
    <w:name w:val="No Spacing Char1"/>
    <w:link w:val="31"/>
    <w:locked/>
    <w:uiPriority w:val="0"/>
    <w:rPr>
      <w:rFonts w:ascii="Calibri" w:hAnsi="Calibri" w:cs="Calibri"/>
      <w:sz w:val="22"/>
      <w:szCs w:val="22"/>
      <w:lang w:val="ru-RU" w:eastAsia="ar-SA" w:bidi="ar-SA"/>
    </w:rPr>
  </w:style>
  <w:style w:type="paragraph" w:customStyle="1" w:styleId="33">
    <w:name w:val="Style3"/>
    <w:basedOn w:val="1"/>
    <w:uiPriority w:val="0"/>
    <w:pPr>
      <w:widowControl w:val="0"/>
      <w:autoSpaceDE w:val="0"/>
      <w:autoSpaceDN w:val="0"/>
      <w:adjustRightInd w:val="0"/>
      <w:spacing w:line="331" w:lineRule="exact"/>
      <w:ind w:firstLine="701"/>
      <w:jc w:val="both"/>
    </w:pPr>
  </w:style>
  <w:style w:type="character" w:customStyle="1" w:styleId="34">
    <w:name w:val="Font Style12"/>
    <w:uiPriority w:val="0"/>
    <w:rPr>
      <w:rFonts w:ascii="Times New Roman" w:hAnsi="Times New Roman"/>
      <w:sz w:val="26"/>
    </w:rPr>
  </w:style>
  <w:style w:type="paragraph" w:customStyle="1" w:styleId="35">
    <w:name w:val="Без интервала2"/>
    <w:uiPriority w:val="0"/>
    <w:rPr>
      <w:rFonts w:ascii="Calibri" w:hAnsi="Calibri" w:eastAsia="Times New Roman" w:cs="Calibri"/>
      <w:sz w:val="22"/>
      <w:szCs w:val="22"/>
      <w:lang w:val="ru-RU" w:eastAsia="ru-RU" w:bidi="ar-SA"/>
    </w:rPr>
  </w:style>
  <w:style w:type="paragraph" w:customStyle="1" w:styleId="36">
    <w:name w:val="Iau?iue"/>
    <w:uiPriority w:val="0"/>
    <w:rPr>
      <w:rFonts w:ascii="Times New Roman" w:hAnsi="Times New Roman" w:eastAsia="Times New Roman" w:cs="Times New Roman"/>
      <w:b/>
      <w:sz w:val="24"/>
      <w:lang w:val="ru-RU" w:eastAsia="ru-RU" w:bidi="ar-SA"/>
    </w:rPr>
  </w:style>
  <w:style w:type="paragraph" w:customStyle="1" w:styleId="37">
    <w:name w:val="Абзац списка1"/>
    <w:basedOn w:val="1"/>
    <w:uiPriority w:val="0"/>
    <w:pPr>
      <w:ind w:left="720"/>
    </w:pPr>
    <w:rPr>
      <w:rFonts w:eastAsia="Calibri"/>
    </w:rPr>
  </w:style>
  <w:style w:type="paragraph" w:customStyle="1" w:styleId="38">
    <w:name w:val="Основной текст 21"/>
    <w:basedOn w:val="1"/>
    <w:uiPriority w:val="0"/>
    <w:pPr>
      <w:jc w:val="both"/>
    </w:pPr>
    <w:rPr>
      <w:sz w:val="26"/>
      <w:szCs w:val="20"/>
    </w:rPr>
  </w:style>
  <w:style w:type="paragraph" w:styleId="39">
    <w:name w:val="List Paragraph"/>
    <w:basedOn w:val="1"/>
    <w:qFormat/>
    <w:uiPriority w:val="99"/>
    <w:pPr>
      <w:ind w:left="720"/>
    </w:pPr>
  </w:style>
  <w:style w:type="paragraph" w:styleId="40">
    <w:name w:val="No Spacing"/>
    <w:qFormat/>
    <w:uiPriority w:val="1"/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customStyle="1" w:styleId="41">
    <w:name w:val="Текст выноски Знак"/>
    <w:link w:val="10"/>
    <w:uiPriority w:val="0"/>
    <w:rPr>
      <w:rFonts w:ascii="Segoe UI" w:hAnsi="Segoe UI" w:cs="Segoe UI"/>
      <w:sz w:val="18"/>
      <w:szCs w:val="18"/>
    </w:rPr>
  </w:style>
  <w:style w:type="character" w:customStyle="1" w:styleId="42">
    <w:name w:val="Обычный (веб) Знак"/>
    <w:link w:val="19"/>
    <w:locked/>
    <w:uiPriority w:val="0"/>
    <w:rPr>
      <w:rFonts w:ascii="Arial" w:hAnsi="Arial"/>
      <w:color w:val="000000"/>
      <w:sz w:val="16"/>
      <w:szCs w:val="16"/>
    </w:rPr>
  </w:style>
  <w:style w:type="character" w:customStyle="1" w:styleId="43">
    <w:name w:val="Заголовок 2 Знак"/>
    <w:basedOn w:val="6"/>
    <w:link w:val="3"/>
    <w:uiPriority w:val="0"/>
    <w:rPr>
      <w:sz w:val="24"/>
    </w:rPr>
  </w:style>
  <w:style w:type="character" w:customStyle="1" w:styleId="44">
    <w:name w:val="Заголовок 3 Знак"/>
    <w:basedOn w:val="6"/>
    <w:link w:val="4"/>
    <w:uiPriority w:val="0"/>
    <w:rPr>
      <w:rFonts w:ascii="Arial" w:hAnsi="Arial" w:cs="Arial"/>
      <w:b/>
      <w:bCs/>
      <w:sz w:val="26"/>
      <w:szCs w:val="26"/>
    </w:rPr>
  </w:style>
  <w:style w:type="character" w:customStyle="1" w:styleId="45">
    <w:name w:val="Заголовок 6 Знак"/>
    <w:basedOn w:val="6"/>
    <w:link w:val="5"/>
    <w:uiPriority w:val="0"/>
    <w:rPr>
      <w:b/>
      <w:bCs/>
      <w:sz w:val="22"/>
      <w:szCs w:val="22"/>
    </w:rPr>
  </w:style>
  <w:style w:type="character" w:customStyle="1" w:styleId="46">
    <w:name w:val="Intense Emphasis"/>
    <w:basedOn w:val="6"/>
    <w:qFormat/>
    <w:uiPriority w:val="21"/>
    <w:rPr>
      <w:i/>
      <w:iCs/>
      <w:color w:val="5B9BD5" w:themeColor="accent1"/>
    </w:rPr>
  </w:style>
  <w:style w:type="character" w:customStyle="1" w:styleId="47">
    <w:name w:val="Основной текст 2 Знак"/>
    <w:basedOn w:val="6"/>
    <w:link w:val="11"/>
    <w:uiPriority w:val="0"/>
    <w:rPr>
      <w:rFonts w:ascii="Arial" w:hAnsi="Arial"/>
      <w:sz w:val="22"/>
      <w:szCs w:val="22"/>
    </w:rPr>
  </w:style>
  <w:style w:type="character" w:customStyle="1" w:styleId="48">
    <w:name w:val="Основной текст 3 Знак"/>
    <w:basedOn w:val="6"/>
    <w:link w:val="20"/>
    <w:uiPriority w:val="0"/>
    <w:rPr>
      <w:rFonts w:ascii="Arial" w:hAnsi="Arial"/>
      <w:sz w:val="16"/>
      <w:szCs w:val="16"/>
    </w:rPr>
  </w:style>
  <w:style w:type="character" w:customStyle="1" w:styleId="49">
    <w:name w:val="Название Знак1"/>
    <w:basedOn w:val="6"/>
    <w:link w:val="17"/>
    <w:uiPriority w:val="0"/>
    <w:rPr>
      <w:sz w:val="28"/>
    </w:rPr>
  </w:style>
  <w:style w:type="paragraph" w:customStyle="1" w:styleId="50">
    <w:name w:val="заголовок 1"/>
    <w:basedOn w:val="1"/>
    <w:next w:val="1"/>
    <w:uiPriority w:val="0"/>
    <w:pPr>
      <w:keepNext/>
      <w:autoSpaceDE w:val="0"/>
      <w:autoSpaceDN w:val="0"/>
      <w:jc w:val="center"/>
      <w:outlineLvl w:val="0"/>
    </w:pPr>
    <w:rPr>
      <w:b/>
      <w:bCs/>
      <w:i/>
      <w:iCs/>
    </w:rPr>
  </w:style>
  <w:style w:type="paragraph" w:customStyle="1" w:styleId="51">
    <w:name w:val="заголовок 2"/>
    <w:basedOn w:val="1"/>
    <w:next w:val="1"/>
    <w:uiPriority w:val="0"/>
    <w:pPr>
      <w:keepNext/>
      <w:autoSpaceDE w:val="0"/>
      <w:autoSpaceDN w:val="0"/>
      <w:jc w:val="center"/>
    </w:pPr>
  </w:style>
  <w:style w:type="paragraph" w:customStyle="1" w:styleId="52">
    <w:name w:val="заголовок 3"/>
    <w:basedOn w:val="1"/>
    <w:next w:val="1"/>
    <w:uiPriority w:val="0"/>
    <w:pPr>
      <w:keepNext/>
      <w:autoSpaceDE w:val="0"/>
      <w:autoSpaceDN w:val="0"/>
    </w:pPr>
  </w:style>
  <w:style w:type="paragraph" w:customStyle="1" w:styleId="53">
    <w:name w:val="заголовок 4"/>
    <w:basedOn w:val="1"/>
    <w:next w:val="1"/>
    <w:uiPriority w:val="0"/>
    <w:pPr>
      <w:keepNext/>
      <w:autoSpaceDE w:val="0"/>
      <w:autoSpaceDN w:val="0"/>
      <w:jc w:val="center"/>
    </w:pPr>
    <w:rPr>
      <w:b/>
      <w:bCs/>
      <w:i/>
      <w:iCs/>
      <w:sz w:val="20"/>
      <w:szCs w:val="20"/>
    </w:rPr>
  </w:style>
  <w:style w:type="character" w:customStyle="1" w:styleId="54">
    <w:name w:val="Основной шрифт"/>
    <w:uiPriority w:val="0"/>
  </w:style>
  <w:style w:type="character" w:customStyle="1" w:styleId="55">
    <w:name w:val="номер страницы"/>
    <w:basedOn w:val="54"/>
    <w:uiPriority w:val="0"/>
  </w:style>
  <w:style w:type="paragraph" w:customStyle="1" w:styleId="56">
    <w:name w:val="Body Text 21"/>
    <w:basedOn w:val="1"/>
    <w:uiPriority w:val="0"/>
    <w:pPr>
      <w:autoSpaceDE w:val="0"/>
      <w:autoSpaceDN w:val="0"/>
      <w:jc w:val="both"/>
    </w:pPr>
  </w:style>
  <w:style w:type="character" w:customStyle="1" w:styleId="57">
    <w:name w:val="Основной текст с отступом 3 Знак"/>
    <w:basedOn w:val="6"/>
    <w:link w:val="12"/>
    <w:uiPriority w:val="0"/>
    <w:rPr>
      <w:sz w:val="24"/>
    </w:rPr>
  </w:style>
  <w:style w:type="paragraph" w:customStyle="1" w:styleId="58">
    <w:name w:val="Обычный1"/>
    <w:uiPriority w:val="0"/>
    <w:pPr>
      <w:widowControl w:val="0"/>
      <w:snapToGrid w:val="0"/>
      <w:ind w:firstLine="300"/>
    </w:pPr>
    <w:rPr>
      <w:rFonts w:ascii="Times New Roman" w:hAnsi="Times New Roman" w:eastAsia="Times New Roman" w:cs="Times New Roman"/>
      <w:sz w:val="16"/>
      <w:lang w:val="ru-RU" w:eastAsia="ru-RU" w:bidi="ar-SA"/>
    </w:rPr>
  </w:style>
  <w:style w:type="paragraph" w:customStyle="1" w:styleId="59">
    <w:name w:val="ConsNormal"/>
    <w:uiPriority w:val="0"/>
    <w:pPr>
      <w:widowControl w:val="0"/>
      <w:overflowPunct w:val="0"/>
      <w:autoSpaceDE w:val="0"/>
      <w:autoSpaceDN w:val="0"/>
      <w:adjustRightInd w:val="0"/>
      <w:ind w:firstLine="720"/>
    </w:pPr>
    <w:rPr>
      <w:rFonts w:ascii="Arial" w:hAnsi="Arial" w:eastAsia="Times New Roman" w:cs="Times New Roman"/>
      <w:lang w:val="ru-RU" w:eastAsia="ru-RU" w:bidi="ar-SA"/>
    </w:rPr>
  </w:style>
  <w:style w:type="paragraph" w:customStyle="1" w:styleId="60">
    <w:name w:val="ConsNonformat"/>
    <w:uiPriority w:val="0"/>
    <w:pPr>
      <w:widowControl w:val="0"/>
      <w:overflowPunct w:val="0"/>
      <w:autoSpaceDE w:val="0"/>
      <w:autoSpaceDN w:val="0"/>
      <w:adjustRightInd w:val="0"/>
    </w:pPr>
    <w:rPr>
      <w:rFonts w:ascii="Courier New" w:hAnsi="Courier New" w:eastAsia="Times New Roman" w:cs="Times New Roman"/>
      <w:lang w:val="ru-RU" w:eastAsia="ru-RU" w:bidi="ar-SA"/>
    </w:rPr>
  </w:style>
  <w:style w:type="paragraph" w:customStyle="1" w:styleId="61">
    <w:name w:val="ConsTitle"/>
    <w:uiPriority w:val="0"/>
    <w:pPr>
      <w:widowControl w:val="0"/>
      <w:overflowPunct w:val="0"/>
      <w:autoSpaceDE w:val="0"/>
      <w:autoSpaceDN w:val="0"/>
      <w:adjustRightInd w:val="0"/>
    </w:pPr>
    <w:rPr>
      <w:rFonts w:ascii="Arial" w:hAnsi="Arial" w:eastAsia="Times New Roman" w:cs="Times New Roman"/>
      <w:b/>
      <w:sz w:val="16"/>
      <w:lang w:val="ru-RU" w:eastAsia="ru-RU" w:bidi="ar-SA"/>
    </w:rPr>
  </w:style>
  <w:style w:type="paragraph" w:customStyle="1" w:styleId="62">
    <w:name w:val="ConsCell"/>
    <w:uiPriority w:val="0"/>
    <w:pPr>
      <w:widowControl w:val="0"/>
      <w:overflowPunct w:val="0"/>
      <w:autoSpaceDE w:val="0"/>
      <w:autoSpaceDN w:val="0"/>
      <w:adjustRightInd w:val="0"/>
    </w:pPr>
    <w:rPr>
      <w:rFonts w:ascii="Arial" w:hAnsi="Arial" w:eastAsia="Times New Roman" w:cs="Times New Roman"/>
      <w:lang w:val="ru-RU" w:eastAsia="ru-RU" w:bidi="ar-SA"/>
    </w:rPr>
  </w:style>
  <w:style w:type="paragraph" w:customStyle="1" w:styleId="63">
    <w:name w:val="Знак Знак Знак Знак Знак Знак Знак"/>
    <w:basedOn w:val="1"/>
    <w:uiPriority w:val="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64">
    <w:name w:val="Знак Знак Знак Знак Знак Знак Знак1"/>
    <w:basedOn w:val="1"/>
    <w:uiPriority w:val="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65">
    <w:name w:val="заголовок 8"/>
    <w:basedOn w:val="1"/>
    <w:next w:val="1"/>
    <w:uiPriority w:val="0"/>
    <w:pPr>
      <w:keepNext/>
      <w:autoSpaceDE w:val="0"/>
      <w:autoSpaceDN w:val="0"/>
      <w:jc w:val="center"/>
    </w:pPr>
    <w:rPr>
      <w:i/>
      <w:iCs/>
    </w:rPr>
  </w:style>
  <w:style w:type="paragraph" w:customStyle="1" w:styleId="66">
    <w:name w:val="Знак Знак Знак Знак"/>
    <w:basedOn w:val="1"/>
    <w:uiPriority w:val="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67">
    <w:name w:val="Диаграмма"/>
    <w:basedOn w:val="13"/>
    <w:link w:val="68"/>
    <w:qFormat/>
    <w:uiPriority w:val="0"/>
    <w:pPr>
      <w:jc w:val="center"/>
    </w:pPr>
    <w:rPr>
      <w:rFonts w:eastAsia="MS Mincho"/>
      <w:b/>
      <w:bCs/>
      <w:sz w:val="28"/>
      <w:szCs w:val="28"/>
    </w:rPr>
  </w:style>
  <w:style w:type="character" w:customStyle="1" w:styleId="68">
    <w:name w:val="Диаграмма Знак"/>
    <w:link w:val="67"/>
    <w:uiPriority w:val="0"/>
    <w:rPr>
      <w:rFonts w:eastAsia="MS Mincho"/>
      <w:b/>
      <w:bCs/>
      <w:sz w:val="28"/>
      <w:szCs w:val="28"/>
    </w:rPr>
  </w:style>
  <w:style w:type="character" w:customStyle="1" w:styleId="69">
    <w:name w:val="apple-style-span"/>
    <w:basedOn w:val="6"/>
    <w:uiPriority w:val="0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diagramQuickStyle" Target="diagrams/quickStyle18.xml"/><Relationship Id="rId98" Type="http://schemas.openxmlformats.org/officeDocument/2006/relationships/diagramLayout" Target="diagrams/layout18.xml"/><Relationship Id="rId97" Type="http://schemas.openxmlformats.org/officeDocument/2006/relationships/diagramData" Target="diagrams/data18.xml"/><Relationship Id="rId96" Type="http://schemas.microsoft.com/office/2007/relationships/diagramDrawing" Target="diagrams/drawing17.xml"/><Relationship Id="rId95" Type="http://schemas.openxmlformats.org/officeDocument/2006/relationships/diagramColors" Target="diagrams/colors17.xml"/><Relationship Id="rId94" Type="http://schemas.openxmlformats.org/officeDocument/2006/relationships/diagramQuickStyle" Target="diagrams/quickStyle17.xml"/><Relationship Id="rId93" Type="http://schemas.openxmlformats.org/officeDocument/2006/relationships/diagramLayout" Target="diagrams/layout17.xml"/><Relationship Id="rId92" Type="http://schemas.openxmlformats.org/officeDocument/2006/relationships/diagramData" Target="diagrams/data17.xml"/><Relationship Id="rId91" Type="http://schemas.microsoft.com/office/2007/relationships/diagramDrawing" Target="diagrams/drawing16.xml"/><Relationship Id="rId90" Type="http://schemas.openxmlformats.org/officeDocument/2006/relationships/diagramColors" Target="diagrams/colors16.xml"/><Relationship Id="rId9" Type="http://schemas.openxmlformats.org/officeDocument/2006/relationships/diagramLayout" Target="diagrams/layout1.xml"/><Relationship Id="rId89" Type="http://schemas.openxmlformats.org/officeDocument/2006/relationships/diagramQuickStyle" Target="diagrams/quickStyle16.xml"/><Relationship Id="rId88" Type="http://schemas.openxmlformats.org/officeDocument/2006/relationships/diagramLayout" Target="diagrams/layout16.xml"/><Relationship Id="rId87" Type="http://schemas.openxmlformats.org/officeDocument/2006/relationships/diagramData" Target="diagrams/data16.xml"/><Relationship Id="rId86" Type="http://schemas.microsoft.com/office/2007/relationships/diagramDrawing" Target="diagrams/drawing15.xml"/><Relationship Id="rId85" Type="http://schemas.openxmlformats.org/officeDocument/2006/relationships/diagramColors" Target="diagrams/colors15.xml"/><Relationship Id="rId84" Type="http://schemas.openxmlformats.org/officeDocument/2006/relationships/diagramQuickStyle" Target="diagrams/quickStyle15.xml"/><Relationship Id="rId83" Type="http://schemas.openxmlformats.org/officeDocument/2006/relationships/diagramLayout" Target="diagrams/layout15.xml"/><Relationship Id="rId82" Type="http://schemas.openxmlformats.org/officeDocument/2006/relationships/diagramData" Target="diagrams/data15.xml"/><Relationship Id="rId81" Type="http://schemas.microsoft.com/office/2007/relationships/diagramDrawing" Target="diagrams/drawing14.xml"/><Relationship Id="rId80" Type="http://schemas.openxmlformats.org/officeDocument/2006/relationships/diagramColors" Target="diagrams/colors14.xml"/><Relationship Id="rId8" Type="http://schemas.openxmlformats.org/officeDocument/2006/relationships/diagramData" Target="diagrams/data1.xml"/><Relationship Id="rId79" Type="http://schemas.openxmlformats.org/officeDocument/2006/relationships/diagramQuickStyle" Target="diagrams/quickStyle14.xml"/><Relationship Id="rId78" Type="http://schemas.openxmlformats.org/officeDocument/2006/relationships/diagramLayout" Target="diagrams/layout14.xml"/><Relationship Id="rId77" Type="http://schemas.openxmlformats.org/officeDocument/2006/relationships/diagramData" Target="diagrams/data14.xml"/><Relationship Id="rId76" Type="http://schemas.openxmlformats.org/officeDocument/2006/relationships/chart" Target="charts/chart4.xml"/><Relationship Id="rId75" Type="http://schemas.microsoft.com/office/2007/relationships/diagramDrawing" Target="diagrams/drawing13.xml"/><Relationship Id="rId74" Type="http://schemas.openxmlformats.org/officeDocument/2006/relationships/diagramColors" Target="diagrams/colors13.xml"/><Relationship Id="rId73" Type="http://schemas.openxmlformats.org/officeDocument/2006/relationships/diagramQuickStyle" Target="diagrams/quickStyle13.xml"/><Relationship Id="rId72" Type="http://schemas.openxmlformats.org/officeDocument/2006/relationships/diagramLayout" Target="diagrams/layout13.xml"/><Relationship Id="rId71" Type="http://schemas.openxmlformats.org/officeDocument/2006/relationships/diagramData" Target="diagrams/data13.xml"/><Relationship Id="rId70" Type="http://schemas.microsoft.com/office/2007/relationships/diagramDrawing" Target="diagrams/drawing12.xml"/><Relationship Id="rId7" Type="http://schemas.openxmlformats.org/officeDocument/2006/relationships/image" Target="media/image3.GIF"/><Relationship Id="rId69" Type="http://schemas.openxmlformats.org/officeDocument/2006/relationships/diagramColors" Target="diagrams/colors12.xml"/><Relationship Id="rId68" Type="http://schemas.openxmlformats.org/officeDocument/2006/relationships/diagramQuickStyle" Target="diagrams/quickStyle12.xml"/><Relationship Id="rId67" Type="http://schemas.openxmlformats.org/officeDocument/2006/relationships/diagramLayout" Target="diagrams/layout12.xml"/><Relationship Id="rId66" Type="http://schemas.openxmlformats.org/officeDocument/2006/relationships/diagramData" Target="diagrams/data12.xml"/><Relationship Id="rId65" Type="http://schemas.microsoft.com/office/2007/relationships/diagramDrawing" Target="diagrams/drawing11.xml"/><Relationship Id="rId64" Type="http://schemas.openxmlformats.org/officeDocument/2006/relationships/diagramColors" Target="diagrams/colors11.xml"/><Relationship Id="rId63" Type="http://schemas.openxmlformats.org/officeDocument/2006/relationships/diagramQuickStyle" Target="diagrams/quickStyle11.xml"/><Relationship Id="rId62" Type="http://schemas.openxmlformats.org/officeDocument/2006/relationships/diagramLayout" Target="diagrams/layout11.xml"/><Relationship Id="rId61" Type="http://schemas.openxmlformats.org/officeDocument/2006/relationships/diagramData" Target="diagrams/data11.xml"/><Relationship Id="rId60" Type="http://schemas.microsoft.com/office/2007/relationships/diagramDrawing" Target="diagrams/drawing10.xml"/><Relationship Id="rId6" Type="http://schemas.openxmlformats.org/officeDocument/2006/relationships/image" Target="media/image2.png"/><Relationship Id="rId59" Type="http://schemas.openxmlformats.org/officeDocument/2006/relationships/diagramColors" Target="diagrams/colors10.xml"/><Relationship Id="rId58" Type="http://schemas.openxmlformats.org/officeDocument/2006/relationships/diagramQuickStyle" Target="diagrams/quickStyle10.xml"/><Relationship Id="rId57" Type="http://schemas.openxmlformats.org/officeDocument/2006/relationships/diagramLayout" Target="diagrams/layout10.xml"/><Relationship Id="rId56" Type="http://schemas.openxmlformats.org/officeDocument/2006/relationships/diagramData" Target="diagrams/data10.xml"/><Relationship Id="rId55" Type="http://schemas.openxmlformats.org/officeDocument/2006/relationships/chart" Target="charts/chart3.xml"/><Relationship Id="rId54" Type="http://schemas.microsoft.com/office/2007/relationships/diagramDrawing" Target="diagrams/drawing9.xml"/><Relationship Id="rId53" Type="http://schemas.openxmlformats.org/officeDocument/2006/relationships/diagramColors" Target="diagrams/colors9.xml"/><Relationship Id="rId52" Type="http://schemas.openxmlformats.org/officeDocument/2006/relationships/diagramQuickStyle" Target="diagrams/quickStyle9.xml"/><Relationship Id="rId51" Type="http://schemas.openxmlformats.org/officeDocument/2006/relationships/diagramLayout" Target="diagrams/layout9.xml"/><Relationship Id="rId50" Type="http://schemas.openxmlformats.org/officeDocument/2006/relationships/diagramData" Target="diagrams/data9.xml"/><Relationship Id="rId5" Type="http://schemas.openxmlformats.org/officeDocument/2006/relationships/theme" Target="theme/theme1.xml"/><Relationship Id="rId49" Type="http://schemas.microsoft.com/office/2007/relationships/diagramDrawing" Target="diagrams/drawing8.xml"/><Relationship Id="rId48" Type="http://schemas.openxmlformats.org/officeDocument/2006/relationships/diagramColors" Target="diagrams/colors8.xml"/><Relationship Id="rId47" Type="http://schemas.openxmlformats.org/officeDocument/2006/relationships/diagramQuickStyle" Target="diagrams/quickStyle8.xml"/><Relationship Id="rId46" Type="http://schemas.openxmlformats.org/officeDocument/2006/relationships/diagramLayout" Target="diagrams/layout8.xml"/><Relationship Id="rId45" Type="http://schemas.openxmlformats.org/officeDocument/2006/relationships/diagramData" Target="diagrams/data8.xml"/><Relationship Id="rId44" Type="http://schemas.microsoft.com/office/2007/relationships/diagramDrawing" Target="diagrams/drawing7.xml"/><Relationship Id="rId43" Type="http://schemas.openxmlformats.org/officeDocument/2006/relationships/diagramColors" Target="diagrams/colors7.xml"/><Relationship Id="rId42" Type="http://schemas.openxmlformats.org/officeDocument/2006/relationships/diagramQuickStyle" Target="diagrams/quickStyle7.xml"/><Relationship Id="rId41" Type="http://schemas.openxmlformats.org/officeDocument/2006/relationships/diagramLayout" Target="diagrams/layout7.xml"/><Relationship Id="rId40" Type="http://schemas.openxmlformats.org/officeDocument/2006/relationships/diagramData" Target="diagrams/data7.xml"/><Relationship Id="rId4" Type="http://schemas.openxmlformats.org/officeDocument/2006/relationships/footer" Target="footer1.xml"/><Relationship Id="rId39" Type="http://schemas.microsoft.com/office/2007/relationships/diagramDrawing" Target="diagrams/drawing6.xml"/><Relationship Id="rId38" Type="http://schemas.openxmlformats.org/officeDocument/2006/relationships/diagramColors" Target="diagrams/colors6.xml"/><Relationship Id="rId37" Type="http://schemas.openxmlformats.org/officeDocument/2006/relationships/diagramQuickStyle" Target="diagrams/quickStyle6.xml"/><Relationship Id="rId36" Type="http://schemas.openxmlformats.org/officeDocument/2006/relationships/diagramLayout" Target="diagrams/layout6.xml"/><Relationship Id="rId35" Type="http://schemas.openxmlformats.org/officeDocument/2006/relationships/diagramData" Target="diagrams/data6.xml"/><Relationship Id="rId34" Type="http://schemas.openxmlformats.org/officeDocument/2006/relationships/chart" Target="charts/chart2.xml"/><Relationship Id="rId33" Type="http://schemas.openxmlformats.org/officeDocument/2006/relationships/chart" Target="charts/chart1.xml"/><Relationship Id="rId32" Type="http://schemas.microsoft.com/office/2007/relationships/diagramDrawing" Target="diagrams/drawing5.xml"/><Relationship Id="rId31" Type="http://schemas.openxmlformats.org/officeDocument/2006/relationships/diagramColors" Target="diagrams/colors5.xml"/><Relationship Id="rId30" Type="http://schemas.openxmlformats.org/officeDocument/2006/relationships/diagramQuickStyle" Target="diagrams/quickStyle5.xml"/><Relationship Id="rId3" Type="http://schemas.openxmlformats.org/officeDocument/2006/relationships/header" Target="header1.xml"/><Relationship Id="rId29" Type="http://schemas.openxmlformats.org/officeDocument/2006/relationships/diagramLayout" Target="diagrams/layout5.xml"/><Relationship Id="rId28" Type="http://schemas.openxmlformats.org/officeDocument/2006/relationships/diagramData" Target="diagrams/data5.xml"/><Relationship Id="rId27" Type="http://schemas.microsoft.com/office/2007/relationships/diagramDrawing" Target="diagrams/drawing4.xml"/><Relationship Id="rId26" Type="http://schemas.openxmlformats.org/officeDocument/2006/relationships/diagramColors" Target="diagrams/colors4.xml"/><Relationship Id="rId25" Type="http://schemas.openxmlformats.org/officeDocument/2006/relationships/diagramQuickStyle" Target="diagrams/quickStyle4.xml"/><Relationship Id="rId24" Type="http://schemas.openxmlformats.org/officeDocument/2006/relationships/diagramLayout" Target="diagrams/layout4.xml"/><Relationship Id="rId23" Type="http://schemas.openxmlformats.org/officeDocument/2006/relationships/diagramData" Target="diagrams/data4.xml"/><Relationship Id="rId22" Type="http://schemas.microsoft.com/office/2007/relationships/diagramDrawing" Target="diagrams/drawing3.xml"/><Relationship Id="rId21" Type="http://schemas.openxmlformats.org/officeDocument/2006/relationships/diagramColors" Target="diagrams/colors3.xml"/><Relationship Id="rId20" Type="http://schemas.openxmlformats.org/officeDocument/2006/relationships/diagramQuickStyle" Target="diagrams/quickStyle3.xml"/><Relationship Id="rId2" Type="http://schemas.openxmlformats.org/officeDocument/2006/relationships/settings" Target="settings.xml"/><Relationship Id="rId194" Type="http://schemas.openxmlformats.org/officeDocument/2006/relationships/fontTable" Target="fontTable.xml"/><Relationship Id="rId193" Type="http://schemas.openxmlformats.org/officeDocument/2006/relationships/customXml" Target="../customXml/item2.xml"/><Relationship Id="rId192" Type="http://schemas.openxmlformats.org/officeDocument/2006/relationships/customXml" Target="../customXml/item1.xml"/><Relationship Id="rId191" Type="http://schemas.openxmlformats.org/officeDocument/2006/relationships/chart" Target="charts/chart13.xml"/><Relationship Id="rId190" Type="http://schemas.microsoft.com/office/2007/relationships/diagramDrawing" Target="diagrams/drawing34.xml"/><Relationship Id="rId19" Type="http://schemas.openxmlformats.org/officeDocument/2006/relationships/diagramLayout" Target="diagrams/layout3.xml"/><Relationship Id="rId189" Type="http://schemas.openxmlformats.org/officeDocument/2006/relationships/diagramColors" Target="diagrams/colors34.xml"/><Relationship Id="rId188" Type="http://schemas.openxmlformats.org/officeDocument/2006/relationships/diagramQuickStyle" Target="diagrams/quickStyle34.xml"/><Relationship Id="rId187" Type="http://schemas.openxmlformats.org/officeDocument/2006/relationships/diagramLayout" Target="diagrams/layout34.xml"/><Relationship Id="rId186" Type="http://schemas.openxmlformats.org/officeDocument/2006/relationships/diagramData" Target="diagrams/data34.xml"/><Relationship Id="rId185" Type="http://schemas.microsoft.com/office/2007/relationships/diagramDrawing" Target="diagrams/drawing33.xml"/><Relationship Id="rId184" Type="http://schemas.openxmlformats.org/officeDocument/2006/relationships/diagramColors" Target="diagrams/colors33.xml"/><Relationship Id="rId183" Type="http://schemas.openxmlformats.org/officeDocument/2006/relationships/diagramQuickStyle" Target="diagrams/quickStyle33.xml"/><Relationship Id="rId182" Type="http://schemas.openxmlformats.org/officeDocument/2006/relationships/diagramLayout" Target="diagrams/layout33.xml"/><Relationship Id="rId181" Type="http://schemas.openxmlformats.org/officeDocument/2006/relationships/diagramData" Target="diagrams/data33.xml"/><Relationship Id="rId180" Type="http://schemas.microsoft.com/office/2007/relationships/diagramDrawing" Target="diagrams/drawing32.xml"/><Relationship Id="rId18" Type="http://schemas.openxmlformats.org/officeDocument/2006/relationships/diagramData" Target="diagrams/data3.xml"/><Relationship Id="rId179" Type="http://schemas.openxmlformats.org/officeDocument/2006/relationships/diagramColors" Target="diagrams/colors32.xml"/><Relationship Id="rId178" Type="http://schemas.openxmlformats.org/officeDocument/2006/relationships/diagramQuickStyle" Target="diagrams/quickStyle32.xml"/><Relationship Id="rId177" Type="http://schemas.openxmlformats.org/officeDocument/2006/relationships/diagramLayout" Target="diagrams/layout32.xml"/><Relationship Id="rId176" Type="http://schemas.openxmlformats.org/officeDocument/2006/relationships/diagramData" Target="diagrams/data32.xml"/><Relationship Id="rId175" Type="http://schemas.microsoft.com/office/2007/relationships/diagramDrawing" Target="diagrams/drawing31.xml"/><Relationship Id="rId174" Type="http://schemas.openxmlformats.org/officeDocument/2006/relationships/diagramColors" Target="diagrams/colors31.xml"/><Relationship Id="rId173" Type="http://schemas.openxmlformats.org/officeDocument/2006/relationships/diagramQuickStyle" Target="diagrams/quickStyle31.xml"/><Relationship Id="rId172" Type="http://schemas.openxmlformats.org/officeDocument/2006/relationships/diagramLayout" Target="diagrams/layout31.xml"/><Relationship Id="rId171" Type="http://schemas.openxmlformats.org/officeDocument/2006/relationships/diagramData" Target="diagrams/data31.xml"/><Relationship Id="rId170" Type="http://schemas.openxmlformats.org/officeDocument/2006/relationships/chart" Target="charts/chart12.xml"/><Relationship Id="rId17" Type="http://schemas.microsoft.com/office/2007/relationships/diagramDrawing" Target="diagrams/drawing2.xml"/><Relationship Id="rId169" Type="http://schemas.openxmlformats.org/officeDocument/2006/relationships/chart" Target="charts/chart11.xml"/><Relationship Id="rId168" Type="http://schemas.microsoft.com/office/2007/relationships/diagramDrawing" Target="diagrams/drawing30.xml"/><Relationship Id="rId167" Type="http://schemas.openxmlformats.org/officeDocument/2006/relationships/diagramColors" Target="diagrams/colors30.xml"/><Relationship Id="rId166" Type="http://schemas.openxmlformats.org/officeDocument/2006/relationships/diagramQuickStyle" Target="diagrams/quickStyle30.xml"/><Relationship Id="rId165" Type="http://schemas.openxmlformats.org/officeDocument/2006/relationships/diagramLayout" Target="diagrams/layout30.xml"/><Relationship Id="rId164" Type="http://schemas.openxmlformats.org/officeDocument/2006/relationships/diagramData" Target="diagrams/data30.xml"/><Relationship Id="rId163" Type="http://schemas.microsoft.com/office/2007/relationships/diagramDrawing" Target="diagrams/drawing29.xml"/><Relationship Id="rId162" Type="http://schemas.openxmlformats.org/officeDocument/2006/relationships/diagramColors" Target="diagrams/colors29.xml"/><Relationship Id="rId161" Type="http://schemas.openxmlformats.org/officeDocument/2006/relationships/diagramQuickStyle" Target="diagrams/quickStyle29.xml"/><Relationship Id="rId160" Type="http://schemas.openxmlformats.org/officeDocument/2006/relationships/diagramLayout" Target="diagrams/layout29.xml"/><Relationship Id="rId16" Type="http://schemas.openxmlformats.org/officeDocument/2006/relationships/diagramColors" Target="diagrams/colors2.xml"/><Relationship Id="rId159" Type="http://schemas.openxmlformats.org/officeDocument/2006/relationships/diagramData" Target="diagrams/data29.xml"/><Relationship Id="rId158" Type="http://schemas.microsoft.com/office/2007/relationships/diagramDrawing" Target="diagrams/drawing28.xml"/><Relationship Id="rId157" Type="http://schemas.openxmlformats.org/officeDocument/2006/relationships/diagramColors" Target="diagrams/colors28.xml"/><Relationship Id="rId156" Type="http://schemas.openxmlformats.org/officeDocument/2006/relationships/diagramQuickStyle" Target="diagrams/quickStyle28.xml"/><Relationship Id="rId155" Type="http://schemas.openxmlformats.org/officeDocument/2006/relationships/diagramLayout" Target="diagrams/layout28.xml"/><Relationship Id="rId154" Type="http://schemas.openxmlformats.org/officeDocument/2006/relationships/diagramData" Target="diagrams/data28.xml"/><Relationship Id="rId153" Type="http://schemas.microsoft.com/office/2007/relationships/diagramDrawing" Target="diagrams/drawing27.xml"/><Relationship Id="rId152" Type="http://schemas.openxmlformats.org/officeDocument/2006/relationships/diagramColors" Target="diagrams/colors27.xml"/><Relationship Id="rId151" Type="http://schemas.openxmlformats.org/officeDocument/2006/relationships/diagramQuickStyle" Target="diagrams/quickStyle27.xml"/><Relationship Id="rId150" Type="http://schemas.openxmlformats.org/officeDocument/2006/relationships/diagramLayout" Target="diagrams/layout27.xml"/><Relationship Id="rId15" Type="http://schemas.openxmlformats.org/officeDocument/2006/relationships/diagramQuickStyle" Target="diagrams/quickStyle2.xml"/><Relationship Id="rId149" Type="http://schemas.openxmlformats.org/officeDocument/2006/relationships/diagramData" Target="diagrams/data27.xml"/><Relationship Id="rId148" Type="http://schemas.openxmlformats.org/officeDocument/2006/relationships/chart" Target="charts/chart10.xml"/><Relationship Id="rId147" Type="http://schemas.openxmlformats.org/officeDocument/2006/relationships/chart" Target="charts/chart9.xml"/><Relationship Id="rId146" Type="http://schemas.microsoft.com/office/2007/relationships/diagramDrawing" Target="diagrams/drawing26.xml"/><Relationship Id="rId145" Type="http://schemas.openxmlformats.org/officeDocument/2006/relationships/diagramColors" Target="diagrams/colors26.xml"/><Relationship Id="rId144" Type="http://schemas.openxmlformats.org/officeDocument/2006/relationships/diagramQuickStyle" Target="diagrams/quickStyle26.xml"/><Relationship Id="rId143" Type="http://schemas.openxmlformats.org/officeDocument/2006/relationships/diagramLayout" Target="diagrams/layout26.xml"/><Relationship Id="rId142" Type="http://schemas.openxmlformats.org/officeDocument/2006/relationships/diagramData" Target="diagrams/data26.xml"/><Relationship Id="rId141" Type="http://schemas.microsoft.com/office/2007/relationships/diagramDrawing" Target="diagrams/drawing25.xml"/><Relationship Id="rId140" Type="http://schemas.openxmlformats.org/officeDocument/2006/relationships/diagramColors" Target="diagrams/colors25.xml"/><Relationship Id="rId14" Type="http://schemas.openxmlformats.org/officeDocument/2006/relationships/diagramLayout" Target="diagrams/layout2.xml"/><Relationship Id="rId139" Type="http://schemas.openxmlformats.org/officeDocument/2006/relationships/diagramQuickStyle" Target="diagrams/quickStyle25.xml"/><Relationship Id="rId138" Type="http://schemas.openxmlformats.org/officeDocument/2006/relationships/diagramLayout" Target="diagrams/layout25.xml"/><Relationship Id="rId137" Type="http://schemas.openxmlformats.org/officeDocument/2006/relationships/diagramData" Target="diagrams/data25.xml"/><Relationship Id="rId136" Type="http://schemas.microsoft.com/office/2007/relationships/diagramDrawing" Target="diagrams/drawing24.xml"/><Relationship Id="rId135" Type="http://schemas.openxmlformats.org/officeDocument/2006/relationships/diagramColors" Target="diagrams/colors24.xml"/><Relationship Id="rId134" Type="http://schemas.openxmlformats.org/officeDocument/2006/relationships/diagramQuickStyle" Target="diagrams/quickStyle24.xml"/><Relationship Id="rId133" Type="http://schemas.openxmlformats.org/officeDocument/2006/relationships/diagramLayout" Target="diagrams/layout24.xml"/><Relationship Id="rId132" Type="http://schemas.openxmlformats.org/officeDocument/2006/relationships/diagramData" Target="diagrams/data24.xml"/><Relationship Id="rId131" Type="http://schemas.microsoft.com/office/2007/relationships/diagramDrawing" Target="diagrams/drawing23.xml"/><Relationship Id="rId130" Type="http://schemas.openxmlformats.org/officeDocument/2006/relationships/diagramColors" Target="diagrams/colors23.xml"/><Relationship Id="rId13" Type="http://schemas.openxmlformats.org/officeDocument/2006/relationships/diagramData" Target="diagrams/data2.xml"/><Relationship Id="rId129" Type="http://schemas.openxmlformats.org/officeDocument/2006/relationships/diagramQuickStyle" Target="diagrams/quickStyle23.xml"/><Relationship Id="rId128" Type="http://schemas.openxmlformats.org/officeDocument/2006/relationships/diagramLayout" Target="diagrams/layout23.xml"/><Relationship Id="rId127" Type="http://schemas.openxmlformats.org/officeDocument/2006/relationships/diagramData" Target="diagrams/data23.xml"/><Relationship Id="rId126" Type="http://schemas.openxmlformats.org/officeDocument/2006/relationships/chart" Target="charts/chart8.xml"/><Relationship Id="rId125" Type="http://schemas.openxmlformats.org/officeDocument/2006/relationships/chart" Target="charts/chart7.xml"/><Relationship Id="rId124" Type="http://schemas.openxmlformats.org/officeDocument/2006/relationships/chart" Target="charts/chart6.xml"/><Relationship Id="rId123" Type="http://schemas.microsoft.com/office/2007/relationships/diagramDrawing" Target="diagrams/drawing22.xml"/><Relationship Id="rId122" Type="http://schemas.openxmlformats.org/officeDocument/2006/relationships/diagramColors" Target="diagrams/colors22.xml"/><Relationship Id="rId121" Type="http://schemas.openxmlformats.org/officeDocument/2006/relationships/diagramQuickStyle" Target="diagrams/quickStyle22.xml"/><Relationship Id="rId120" Type="http://schemas.openxmlformats.org/officeDocument/2006/relationships/diagramLayout" Target="diagrams/layout22.xml"/><Relationship Id="rId12" Type="http://schemas.microsoft.com/office/2007/relationships/diagramDrawing" Target="diagrams/drawing1.xml"/><Relationship Id="rId119" Type="http://schemas.openxmlformats.org/officeDocument/2006/relationships/diagramData" Target="diagrams/data22.xml"/><Relationship Id="rId118" Type="http://schemas.microsoft.com/office/2007/relationships/diagramDrawing" Target="diagrams/drawing21.xml"/><Relationship Id="rId117" Type="http://schemas.openxmlformats.org/officeDocument/2006/relationships/diagramColors" Target="diagrams/colors21.xml"/><Relationship Id="rId116" Type="http://schemas.openxmlformats.org/officeDocument/2006/relationships/diagramQuickStyle" Target="diagrams/quickStyle21.xml"/><Relationship Id="rId115" Type="http://schemas.openxmlformats.org/officeDocument/2006/relationships/diagramLayout" Target="diagrams/layout21.xml"/><Relationship Id="rId114" Type="http://schemas.openxmlformats.org/officeDocument/2006/relationships/diagramData" Target="diagrams/data21.xml"/><Relationship Id="rId113" Type="http://schemas.microsoft.com/office/2007/relationships/diagramDrawing" Target="diagrams/drawing20.xml"/><Relationship Id="rId112" Type="http://schemas.openxmlformats.org/officeDocument/2006/relationships/diagramColors" Target="diagrams/colors20.xml"/><Relationship Id="rId111" Type="http://schemas.openxmlformats.org/officeDocument/2006/relationships/diagramQuickStyle" Target="diagrams/quickStyle20.xml"/><Relationship Id="rId110" Type="http://schemas.openxmlformats.org/officeDocument/2006/relationships/diagramLayout" Target="diagrams/layout20.xml"/><Relationship Id="rId11" Type="http://schemas.openxmlformats.org/officeDocument/2006/relationships/diagramColors" Target="diagrams/colors1.xml"/><Relationship Id="rId109" Type="http://schemas.openxmlformats.org/officeDocument/2006/relationships/diagramData" Target="diagrams/data20.xml"/><Relationship Id="rId108" Type="http://schemas.microsoft.com/office/2007/relationships/diagramDrawing" Target="diagrams/drawing19.xml"/><Relationship Id="rId107" Type="http://schemas.openxmlformats.org/officeDocument/2006/relationships/diagramColors" Target="diagrams/colors19.xml"/><Relationship Id="rId106" Type="http://schemas.openxmlformats.org/officeDocument/2006/relationships/diagramQuickStyle" Target="diagrams/quickStyle19.xml"/><Relationship Id="rId105" Type="http://schemas.openxmlformats.org/officeDocument/2006/relationships/diagramLayout" Target="diagrams/layout19.xml"/><Relationship Id="rId104" Type="http://schemas.openxmlformats.org/officeDocument/2006/relationships/diagramData" Target="diagrams/data19.xml"/><Relationship Id="rId103" Type="http://schemas.openxmlformats.org/officeDocument/2006/relationships/image" Target="media/image4.jpeg"/><Relationship Id="rId102" Type="http://schemas.openxmlformats.org/officeDocument/2006/relationships/chart" Target="charts/chart5.xml"/><Relationship Id="rId101" Type="http://schemas.microsoft.com/office/2007/relationships/diagramDrawing" Target="diagrams/drawing18.xml"/><Relationship Id="rId100" Type="http://schemas.openxmlformats.org/officeDocument/2006/relationships/diagramColors" Target="diagrams/colors18.xml"/><Relationship Id="rId10" Type="http://schemas.openxmlformats.org/officeDocument/2006/relationships/diagramQuickStyle" Target="diagrams/quickStyle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1.xml"/><Relationship Id="rId1" Type="http://schemas.openxmlformats.org/officeDocument/2006/relationships/package" Target="../embeddings/Workbook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themeOverride" Target="../theme/themeOverride8.xml"/><Relationship Id="rId1" Type="http://schemas.openxmlformats.org/officeDocument/2006/relationships/package" Target="../embeddings/Workbook8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12.xml"/><Relationship Id="rId1" Type="http://schemas.openxmlformats.org/officeDocument/2006/relationships/package" Target="../embeddings/Workbook12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13.xml"/><Relationship Id="rId1" Type="http://schemas.openxmlformats.org/officeDocument/2006/relationships/package" Target="../embeddings/Workbook13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11.xml"/><Relationship Id="rId1" Type="http://schemas.openxmlformats.org/officeDocument/2006/relationships/package" Target="../embeddings/Workbook1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themeOverride" Target="../theme/themeOverride5.xml"/><Relationship Id="rId1" Type="http://schemas.openxmlformats.org/officeDocument/2006/relationships/package" Target="../embeddings/Workbook5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2.xml"/><Relationship Id="rId1" Type="http://schemas.openxmlformats.org/officeDocument/2006/relationships/package" Target="../embeddings/Workbook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4.xml"/><Relationship Id="rId1" Type="http://schemas.openxmlformats.org/officeDocument/2006/relationships/package" Target="../embeddings/Workbook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3.xml"/><Relationship Id="rId1" Type="http://schemas.openxmlformats.org/officeDocument/2006/relationships/package" Target="../embeddings/Workbook3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6.xml"/><Relationship Id="rId1" Type="http://schemas.openxmlformats.org/officeDocument/2006/relationships/package" Target="../embeddings/Workbook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7.xml"/><Relationship Id="rId1" Type="http://schemas.openxmlformats.org/officeDocument/2006/relationships/package" Target="../embeddings/Workbook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9.xml"/><Relationship Id="rId1" Type="http://schemas.openxmlformats.org/officeDocument/2006/relationships/package" Target="../embeddings/Workbook9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10.xml"/><Relationship Id="rId1" Type="http://schemas.openxmlformats.org/officeDocument/2006/relationships/package" Target="../embeddings/Workbook1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59383621932503"/>
          <c:y val="0.0425940308296061"/>
          <c:w val="0.92050450707236"/>
          <c:h val="0.8959063539517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0.00603318250377077"/>
                  <c:y val="-0.0358598207008966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6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00553041729512"/>
                  <c:y val="-0.024040310469213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226165927065645"/>
                  <c:y val="-0.0244032989155342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0151578515029002"/>
                  <c:y val="-0.0243451324418904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6000" tIns="0" rIns="72000" bIns="19050" anchor="ctr" anchorCtr="1">
                <a:spAutoFit/>
              </a:bodyPr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(руб.)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0.0120663650075415"/>
                  <c:y val="-0.012429716338933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22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6088486676722"/>
                  <c:y val="-0.030255028281892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160884866767221"/>
                  <c:y val="-0.0234300391595436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00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rPr>
                      <a:t>1</a:t>
                    </a:r>
                    <a:endParaRPr lang="en-US" sz="1000">
                      <a:ln>
                        <a:noFill/>
                      </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endParaRPr>
                  </a:p>
                </c:rich>
              </c:tx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1000" b="0" i="0" u="none" strike="noStrike" kern="1200" baseline="0">
                      <a:ln>
                        <a:noFill/>
                      </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371894887618729"/>
                  <c:y val="-0.027159720843577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4</a:t>
                    </a:r>
                    <a:r>
                      <a:rPr lang="ru-RU" baseline="0"/>
                      <a:t> 991 423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0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(руб.)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</c:v>
                </c:pt>
                <c:pt idx="1">
                  <c:v>0</c:v>
                </c:pt>
                <c:pt idx="2">
                  <c:v>1</c:v>
                </c:pt>
                <c:pt idx="3">
                  <c:v>4.9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9244928"/>
        <c:axId val="39246464"/>
      </c:barChart>
      <c:catAx>
        <c:axId val="39244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9246464"/>
        <c:crosses val="autoZero"/>
        <c:auto val="1"/>
        <c:lblAlgn val="ctr"/>
        <c:lblOffset val="100"/>
        <c:noMultiLvlLbl val="0"/>
      </c:catAx>
      <c:valAx>
        <c:axId val="39246464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9244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79400688626406"/>
          <c:y val="0.0626613045869883"/>
          <c:w val="0.160860126279447"/>
          <c:h val="0.0833062855014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60"/>
      <c:depthPercent val="100"/>
      <c:rAngAx val="0"/>
      <c:perspective val="3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.212377424063661"/>
          <c:y val="0.293182026822225"/>
          <c:w val="0.616717049473875"/>
          <c:h val="0.4785386559504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explosion val="0"/>
          <c:dPt>
            <c:idx val="0"/>
            <c:bubble3D val="0"/>
            <c:explosion val="12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explosion val="1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Pt>
            <c:idx val="2"/>
            <c:bubble3D val="0"/>
            <c:explosion val="21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Pt>
            <c:idx val="3"/>
            <c:bubble3D val="0"/>
            <c:explosion val="17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Lbls>
            <c:dLbl>
              <c:idx val="0"/>
              <c:layout>
                <c:manualLayout>
                  <c:x val="-0.0363666683122114"/>
                  <c:y val="0.046399118802266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>
                        <a:latin typeface="Times New Roman" panose="02020603050405020304" charset="0"/>
                        <a:cs typeface="Times New Roman" panose="02020603050405020304" charset="0"/>
                      </a:rPr>
                      <a:t>Надворная постройка</a:t>
                    </a:r>
                    <a:endParaRPr lang="ru-RU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>
                        <a:latin typeface="Times New Roman" panose="02020603050405020304" charset="0"/>
                        <a:cs typeface="Times New Roman" panose="02020603050405020304" charset="0"/>
                      </a:rPr>
                      <a:t>4
50%</a:t>
                    </a:r>
                    <a:endParaRPr lang="ru-RU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</c:rich>
              </c:tx>
              <c:numFmt formatCode="General" sourceLinked="1"/>
              <c:spPr>
                <a:noFill/>
                <a:ln>
                  <a:solidFill>
                    <a:sysClr val="windowText" lastClr="000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charset="0"/>
                      <a:ea typeface="+mn-ea"/>
                      <a:cs typeface="Times New Roman" panose="02020603050405020304" charset="0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821965145807573"/>
                  <c:y val="-0.067681847680978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Многоквартирный жилой дом</a:t>
                    </a:r>
                    <a:endParaRPr lang="ru-RU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2</a:t>
                    </a:r>
                    <a:endParaRPr lang="ru-RU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25%</a:t>
                    </a:r>
                    <a:endParaRPr lang="ru-RU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endParaRPr lang="ru-RU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</c:rich>
              </c:tx>
              <c:numFmt formatCode="General" sourceLinked="1"/>
              <c:spPr>
                <a:noFill/>
                <a:ln>
                  <a:solidFill>
                    <a:sysClr val="windowText" lastClr="000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charset="0"/>
                      <a:ea typeface="+mn-ea"/>
                      <a:cs typeface="Times New Roman" panose="02020603050405020304" charset="0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982178361760443"/>
                  <c:y val="-0.035951965705433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Баня</a:t>
                    </a:r>
                    <a:endParaRPr lang="ru-RU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1
12,5%</a:t>
                    </a:r>
                    <a:endParaRPr lang="ru-RU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</c:rich>
              </c:tx>
              <c:numFmt formatCode="General" sourceLinked="1"/>
              <c:spPr>
                <a:noFill/>
                <a:ln>
                  <a:solidFill>
                    <a:sysClr val="windowText" lastClr="000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charset="0"/>
                      <a:ea typeface="+mn-ea"/>
                      <a:cs typeface="Times New Roman" panose="02020603050405020304" charset="0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682641278114036"/>
                  <c:y val="0.027143853275424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>
                        <a:latin typeface="Times New Roman" panose="02020603050405020304" charset="0"/>
                        <a:cs typeface="Times New Roman" panose="02020603050405020304" charset="0"/>
                      </a:rPr>
                      <a:t>Одноквартирный жилой дом</a:t>
                    </a:r>
                    <a:endParaRPr lang="ru-RU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1</a:t>
                    </a:r>
                    <a:endParaRPr lang="ru-RU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12,5%</a:t>
                    </a:r>
                    <a:endParaRPr lang="ru-RU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</c:rich>
              </c:tx>
              <c:numFmt formatCode="General" sourceLinked="1"/>
              <c:spPr>
                <a:noFill/>
                <a:ln>
                  <a:solidFill>
                    <a:sysClr val="windowText" lastClr="000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charset="0"/>
                      <a:ea typeface="+mn-ea"/>
                      <a:cs typeface="Times New Roman" panose="02020603050405020304" charset="0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Надворная постройка</c:v>
                </c:pt>
                <c:pt idx="1">
                  <c:v>Многоквартирный жилой дом </c:v>
                </c:pt>
                <c:pt idx="2">
                  <c:v>Баня</c:v>
                </c:pt>
                <c:pt idx="3">
                  <c:v>одноквартирный жилой дом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25</c:v>
                </c:pt>
                <c:pt idx="2">
                  <c:v>12.5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573738237471449"/>
          <c:y val="0.0392156862745099"/>
          <c:w val="0.91408673124331"/>
          <c:h val="0.849367651033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0.00603318250377077"/>
                  <c:y val="-0.035859820700896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00553041729512"/>
                  <c:y val="-0.024040310469213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182424813431747"/>
                  <c:y val="-0.0293399971845049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0350948056655666"/>
                  <c:y val="-0.0181930005009979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6000" tIns="0" rIns="72000" bIns="19050" anchor="ctr" anchorCtr="1">
                <a:spAutoFit/>
              </a:bodyPr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(руб.)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0.0120663650075415"/>
                  <c:y val="-0.012429716338933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6088486676722"/>
                  <c:y val="-0.030255028281892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160884866767221"/>
                  <c:y val="-0.0234300391595436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00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rPr>
                      <a:t>1</a:t>
                    </a:r>
                    <a:endParaRPr lang="en-US" sz="1000">
                      <a:ln>
                        <a:noFill/>
                      </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endParaRPr>
                  </a:p>
                </c:rich>
              </c:tx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1000" b="0" i="0" u="none" strike="noStrike" kern="1200" baseline="0">
                      <a:ln>
                        <a:noFill/>
                      </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203669466390512"/>
                  <c:y val="-0.023430122703263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4</a:t>
                    </a:r>
                    <a:r>
                      <a:rPr lang="ru-RU" baseline="0"/>
                      <a:t> 800 893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0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(руб.)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  <c:pt idx="1">
                  <c:v>0</c:v>
                </c:pt>
                <c:pt idx="2">
                  <c:v>1</c:v>
                </c:pt>
                <c:pt idx="3">
                  <c:v>4.8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4071040"/>
        <c:axId val="114072576"/>
      </c:barChart>
      <c:catAx>
        <c:axId val="11407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14072576"/>
        <c:crosses val="autoZero"/>
        <c:auto val="1"/>
        <c:lblAlgn val="ctr"/>
        <c:lblOffset val="100"/>
        <c:noMultiLvlLbl val="0"/>
      </c:catAx>
      <c:valAx>
        <c:axId val="114072576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1407104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2276211869877"/>
          <c:y val="0.0906817276112737"/>
          <c:w val="0.140527657342371"/>
          <c:h val="0.08651922353362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45"/>
      <c:depthPercent val="100"/>
      <c:rAngAx val="0"/>
      <c:perspective val="3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.156756428733406"/>
          <c:y val="0.364640202840228"/>
          <c:w val="0.653465919357593"/>
          <c:h val="0.50761888529060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explosion val="0"/>
          <c:dPt>
            <c:idx val="0"/>
            <c:bubble3D val="0"/>
            <c:explosion val="12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explosion val="1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Pt>
            <c:idx val="2"/>
            <c:bubble3D val="0"/>
            <c:explosion val="21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Lbls>
            <c:dLbl>
              <c:idx val="0"/>
              <c:layout>
                <c:manualLayout>
                  <c:x val="-0.0426364650387863"/>
                  <c:y val="0.074525466314805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8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sz="800">
                        <a:latin typeface="Times New Roman" panose="02020603050405020304" charset="0"/>
                        <a:cs typeface="Times New Roman" panose="02020603050405020304" charset="0"/>
                      </a:rPr>
                      <a:t>Неисправность электрооборудования транспортных</a:t>
                    </a:r>
                    <a:r>
                      <a:rPr lang="ru-RU" sz="800" baseline="0">
                        <a:latin typeface="Times New Roman" panose="02020603050405020304" charset="0"/>
                        <a:cs typeface="Times New Roman" panose="02020603050405020304" charset="0"/>
                      </a:rPr>
                      <a:t> средств</a:t>
                    </a:r>
                    <a:endParaRPr lang="ru-RU" sz="800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8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sz="800">
                        <a:latin typeface="Times New Roman" panose="02020603050405020304" charset="0"/>
                        <a:cs typeface="Times New Roman" panose="02020603050405020304" charset="0"/>
                      </a:rPr>
                      <a:t>3
60%</a:t>
                    </a:r>
                    <a:endParaRPr lang="ru-RU" sz="80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</c:rich>
              </c:tx>
              <c:numFmt formatCode="General" sourceLinked="1"/>
              <c:spPr>
                <a:noFill/>
                <a:ln>
                  <a:solidFill>
                    <a:sysClr val="windowText" lastClr="000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charset="0"/>
                      <a:ea typeface="+mn-ea"/>
                      <a:cs typeface="Times New Roman" panose="02020603050405020304" charset="0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413093008396043"/>
                  <c:y val="-0.13307451616192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8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sz="800" baseline="0">
                        <a:latin typeface="Times New Roman" panose="02020603050405020304" charset="0"/>
                        <a:cs typeface="Times New Roman" panose="02020603050405020304" charset="0"/>
                      </a:rPr>
                      <a:t>Неисправность систем, механизмов и узлов транспортных средств</a:t>
                    </a:r>
                    <a:endParaRPr lang="ru-RU" sz="800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8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sz="800" baseline="0">
                        <a:latin typeface="Times New Roman" panose="02020603050405020304" charset="0"/>
                        <a:cs typeface="Times New Roman" panose="02020603050405020304" charset="0"/>
                      </a:rPr>
                      <a:t>1
20%</a:t>
                    </a:r>
                    <a:endParaRPr lang="ru-RU" sz="800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</c:rich>
              </c:tx>
              <c:numFmt formatCode="General" sourceLinked="1"/>
              <c:spPr>
                <a:noFill/>
                <a:ln>
                  <a:solidFill>
                    <a:sysClr val="windowText" lastClr="000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charset="0"/>
                      <a:ea typeface="+mn-ea"/>
                      <a:cs typeface="Times New Roman" panose="02020603050405020304" charset="0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615139854812295"/>
                  <c:y val="0.071131301641798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неустановленные причины </a:t>
                    </a:r>
                    <a:endParaRPr lang="ru-RU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1</a:t>
                    </a:r>
                    <a:endParaRPr lang="ru-RU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20%</a:t>
                    </a:r>
                    <a:endParaRPr lang="ru-RU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</c:rich>
              </c:tx>
              <c:numFmt formatCode="General" sourceLinked="1"/>
              <c:spPr>
                <a:noFill/>
                <a:ln>
                  <a:solidFill>
                    <a:sysClr val="windowText" lastClr="000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charset="0"/>
                      <a:ea typeface="+mn-ea"/>
                      <a:cs typeface="Times New Roman" panose="02020603050405020304" charset="0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Неисправность электрооборудования т/с</c:v>
                </c:pt>
                <c:pt idx="1">
                  <c:v>Неисправность систем, механизмов и узлов т/с</c:v>
                </c:pt>
                <c:pt idx="2">
                  <c:v>Не установленные причины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44.4</c:v>
                </c:pt>
                <c:pt idx="1">
                  <c:v>44.4</c:v>
                </c:pt>
                <c:pt idx="2">
                  <c:v>11.1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491478415418585"/>
          <c:y val="0.0392155825808414"/>
          <c:w val="0.909989319158449"/>
          <c:h val="0.7952914354123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0.00603318250377077"/>
                  <c:y val="-0.0358598207008966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00553041729512"/>
                  <c:y val="-0.024040310469213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120663650075415"/>
                  <c:y val="-0.0293398533007335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120663650075415"/>
                  <c:y val="-0.024345165410473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6000" tIns="0" rIns="72000" bIns="19050" anchor="ctr" anchorCtr="1">
                <a:spAutoFit/>
              </a:bodyPr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(руб.)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0.0120663650075415"/>
                  <c:y val="-0.012429716338933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6088486676722"/>
                  <c:y val="-0.030255028281892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160884866767221"/>
                  <c:y val="-0.0234300391595436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00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rPr>
                      <a:t>0</a:t>
                    </a:r>
                    <a:endParaRPr lang="en-US" sz="1000">
                      <a:ln>
                        <a:noFill/>
                      </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endParaRPr>
                  </a:p>
                </c:rich>
              </c:tx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1000" b="0" i="0" u="none" strike="noStrike" kern="1200" baseline="0">
                      <a:ln>
                        <a:noFill/>
                      </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16088486676722"/>
                  <c:y val="-0.023430039159543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0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(руб.)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5445120"/>
        <c:axId val="115467392"/>
      </c:barChart>
      <c:catAx>
        <c:axId val="115445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15467392"/>
        <c:crosses val="autoZero"/>
        <c:auto val="1"/>
        <c:lblAlgn val="ctr"/>
        <c:lblOffset val="100"/>
        <c:noMultiLvlLbl val="0"/>
      </c:catAx>
      <c:valAx>
        <c:axId val="115467392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1544512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8744936153936"/>
          <c:y val="0.0784681540296563"/>
          <c:w val="0.140527657342371"/>
          <c:h val="0.08651922353362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66"/>
      <c:depthPercent val="100"/>
      <c:rAngAx val="0"/>
      <c:perspective val="3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.151874461684525"/>
          <c:y val="0.23454010197585"/>
          <c:w val="0.670140334324011"/>
          <c:h val="0.51869036788728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explosion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explosion val="1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Pt>
            <c:idx val="2"/>
            <c:bubble3D val="0"/>
            <c:explosion val="1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Lbls>
            <c:dLbl>
              <c:idx val="0"/>
              <c:layout>
                <c:manualLayout>
                  <c:x val="0.015139948664256"/>
                  <c:y val="0.094408221812162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9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anose="02020603050405020304" charset="0"/>
                        <a:cs typeface="Times New Roman" panose="02020603050405020304" charset="0"/>
                      </a:rPr>
                      <a:t>Объекты жилого сектора,
8</a:t>
                    </a:r>
                    <a:endParaRPr lang="ru-RU">
                      <a:solidFill>
                        <a:sysClr val="windowText" lastClr="000000"/>
                      </a:solidFill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solidFill>
                          <a:sysClr val="windowText" lastClr="000000"/>
                        </a:solidFill>
                        <a:latin typeface="Times New Roman" panose="02020603050405020304" charset="0"/>
                        <a:cs typeface="Times New Roman" panose="02020603050405020304" charset="0"/>
                      </a:rPr>
                      <a:t> 36,4</a:t>
                    </a:r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anose="02020603050405020304" charset="0"/>
                        <a:cs typeface="Times New Roman" panose="02020603050405020304" charset="0"/>
                      </a:rPr>
                      <a:t>%</a:t>
                    </a:r>
                    <a:endParaRPr lang="ru-RU">
                      <a:solidFill>
                        <a:sysClr val="windowText" lastClr="000000"/>
                      </a:solidFill>
                    </a:endParaRPr>
                  </a:p>
                </c:rich>
              </c:tx>
              <c:numFmt formatCode="General" sourceLinked="1"/>
              <c:spPr>
                <a:noFill/>
                <a:ln>
                  <a:solidFill>
                    <a:sysClr val="windowText" lastClr="000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charset="0"/>
                      <a:ea typeface="+mn-ea"/>
                      <a:cs typeface="Times New Roman" panose="02020603050405020304" charset="0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0579646039180698"/>
                  <c:y val="-0.05813849729836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9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sz="900" b="0" i="0" baseline="0">
                        <a:effectLst/>
                      </a:rPr>
                      <a:t>Транспортные средства</a:t>
                    </a:r>
                    <a:endParaRPr lang="ru-RU" sz="900">
                      <a:effectLst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sz="900" b="0" i="0" baseline="0">
                        <a:effectLst/>
                      </a:rPr>
                      <a:t>9</a:t>
                    </a:r>
                    <a:endParaRPr lang="ru-RU" sz="900" b="0" i="0" baseline="0">
                      <a:effectLst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sz="900" b="0" i="0" baseline="0">
                        <a:effectLst/>
                      </a:rPr>
                      <a:t> 40,9%</a:t>
                    </a:r>
                    <a:endParaRPr lang="ru-RU" sz="900">
                      <a:effectLst/>
                    </a:endParaRPr>
                  </a:p>
                </c:rich>
              </c:tx>
              <c:numFmt formatCode="General" sourceLinked="1"/>
              <c:spPr>
                <a:noFill/>
                <a:ln>
                  <a:solidFill>
                    <a:sysClr val="windowText" lastClr="000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charset="0"/>
                      <a:ea typeface="+mn-ea"/>
                      <a:cs typeface="Times New Roman" panose="02020603050405020304" charset="0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0278824892279158"/>
                  <c:y val="-0.098352487614066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solidFill>
                          <a:sysClr val="windowText" lastClr="000000"/>
                        </a:solidFill>
                        <a:latin typeface="Times New Roman" panose="02020603050405020304" charset="0"/>
                        <a:cs typeface="Times New Roman" panose="02020603050405020304" charset="0"/>
                      </a:rPr>
                      <a:t>Иное </a:t>
                    </a:r>
                    <a:endParaRPr lang="ru-RU" baseline="0">
                      <a:solidFill>
                        <a:sysClr val="windowText" lastClr="000000"/>
                      </a:solidFill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solidFill>
                          <a:sysClr val="windowText" lastClr="000000"/>
                        </a:solidFill>
                        <a:latin typeface="Times New Roman" panose="02020603050405020304" charset="0"/>
                        <a:cs typeface="Times New Roman" panose="02020603050405020304" charset="0"/>
                      </a:rPr>
                      <a:t>2</a:t>
                    </a:r>
                    <a:endParaRPr lang="ru-RU" baseline="0">
                      <a:solidFill>
                        <a:sysClr val="windowText" lastClr="000000"/>
                      </a:solidFill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solidFill>
                          <a:sysClr val="windowText" lastClr="000000"/>
                        </a:solidFill>
                        <a:latin typeface="Times New Roman" panose="02020603050405020304" charset="0"/>
                        <a:cs typeface="Times New Roman" panose="02020603050405020304" charset="0"/>
                      </a:rPr>
                      <a:t> 9,1%</a:t>
                    </a:r>
                    <a:endParaRPr lang="ru-RU" baseline="0">
                      <a:solidFill>
                        <a:sysClr val="windowText" lastClr="000000"/>
                      </a:solidFill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Объекты жилого сектора</c:v>
                </c:pt>
                <c:pt idx="1">
                  <c:v>Транспортные средства</c:v>
                </c:pt>
                <c:pt idx="2">
                  <c:v>Иное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45.5</c:v>
                </c:pt>
                <c:pt idx="1">
                  <c:v>36.4</c:v>
                </c:pt>
                <c:pt idx="2">
                  <c:v>18.1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511339327072376"/>
          <c:y val="0.0829772693507651"/>
          <c:w val="0.930901715025429"/>
          <c:h val="0.6631309314807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0.012207376231974"/>
                  <c:y val="-0.00802279751805687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2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21027105351232"/>
                  <c:y val="-0.0319939052667276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120663650075415"/>
                  <c:y val="-0.0293398533007335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120663650075415"/>
                  <c:y val="-0.0243451654104738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6000" tIns="0" rIns="72000" bIns="19050" anchor="ctr" anchorCtr="1">
                <a:spAutoFit/>
              </a:bodyPr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(руб.)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0.0120663650075415"/>
                  <c:y val="-0.012429716338933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6088486676722"/>
                  <c:y val="-0.030255028281892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160884866767221"/>
                  <c:y val="-0.0234300391595436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00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rPr>
                      <a:t>0</a:t>
                    </a:r>
                    <a:endParaRPr lang="en-US" sz="1000">
                      <a:ln>
                        <a:noFill/>
                      </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endParaRPr>
                  </a:p>
                </c:rich>
              </c:tx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1000" b="0" i="0" u="none" strike="noStrike" kern="1200" baseline="0">
                      <a:ln>
                        <a:noFill/>
                      </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16088486676722"/>
                  <c:y val="-0.023430039159543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0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(руб.)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2749312"/>
        <c:axId val="82750848"/>
      </c:barChart>
      <c:catAx>
        <c:axId val="8274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2750848"/>
        <c:crosses val="autoZero"/>
        <c:auto val="1"/>
        <c:lblAlgn val="ctr"/>
        <c:lblOffset val="100"/>
        <c:noMultiLvlLbl val="0"/>
      </c:catAx>
      <c:valAx>
        <c:axId val="82750848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274931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79162824998572"/>
          <c:y val="0.0419036299707819"/>
          <c:w val="0.140370663458741"/>
          <c:h val="0.09783949983222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618856072799152"/>
          <c:y val="0.0660357588675165"/>
          <c:w val="0.903868815610247"/>
          <c:h val="0.8380070208070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0.0101279915807231"/>
                  <c:y val="-0.00802266800602209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21027105351232"/>
                  <c:y val="-0.0319939052667276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120663650075415"/>
                  <c:y val="-0.0293398533007335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120663650075415"/>
                  <c:y val="-0.0243451654104738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6000" tIns="0" rIns="72000" bIns="19050" anchor="ctr" anchorCtr="1">
                <a:spAutoFit/>
              </a:bodyPr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(руб.)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0.0120663650075415"/>
                  <c:y val="-0.012429716338933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6088486676722"/>
                  <c:y val="-0.030255028281892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160884866767221"/>
                  <c:y val="-0.0234300391595436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00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rPr>
                      <a:t>0</a:t>
                    </a:r>
                    <a:endParaRPr lang="en-US" sz="1000">
                      <a:ln>
                        <a:noFill/>
                      </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endParaRPr>
                  </a:p>
                </c:rich>
              </c:tx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1000" b="0" i="0" u="none" strike="noStrike" kern="1200" baseline="0">
                      <a:ln>
                        <a:noFill/>
                      </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224332495422576"/>
                  <c:y val="-0.029492126713420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0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(руб.)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8740992"/>
        <c:axId val="88742528"/>
      </c:barChart>
      <c:catAx>
        <c:axId val="8874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8742528"/>
        <c:crosses val="autoZero"/>
        <c:auto val="1"/>
        <c:lblAlgn val="ctr"/>
        <c:lblOffset val="100"/>
        <c:noMultiLvlLbl val="0"/>
      </c:catAx>
      <c:valAx>
        <c:axId val="88742528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874099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1425924831162"/>
          <c:y val="0.044805751205925"/>
          <c:w val="0.140370663458741"/>
          <c:h val="0.08897016393850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42399443738487"/>
          <c:y val="0.0447916828857478"/>
          <c:w val="0.91408673124331"/>
          <c:h val="0.849367651033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0.00603318250377077"/>
                  <c:y val="-0.035859820700896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00553041729512"/>
                  <c:y val="-0.024040310469213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182424813431747"/>
                  <c:y val="-0.0293399971845049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0350948056655666"/>
                  <c:y val="-0.0181930005009979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6000" tIns="0" rIns="72000" bIns="19050" anchor="ctr" anchorCtr="1">
                <a:spAutoFit/>
              </a:bodyPr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(руб.)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0.0120663650075415"/>
                  <c:y val="-0.012429716338933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6088486676722"/>
                  <c:y val="-0.030255028281892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160884866767221"/>
                  <c:y val="-0.0234300391595436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00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rPr>
                      <a:t>1</a:t>
                    </a:r>
                    <a:endParaRPr lang="en-US" sz="1000">
                      <a:ln>
                        <a:noFill/>
                      </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endParaRPr>
                  </a:p>
                </c:rich>
              </c:tx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1000" b="0" i="0" u="none" strike="noStrike" kern="1200" baseline="0">
                      <a:ln>
                        <a:noFill/>
                      </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203669466390512"/>
                  <c:y val="-0.023430122703263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4</a:t>
                    </a:r>
                    <a:r>
                      <a:rPr lang="ru-RU" baseline="0"/>
                      <a:t> 800 893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0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(руб.)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  <c:pt idx="1">
                  <c:v>0</c:v>
                </c:pt>
                <c:pt idx="2">
                  <c:v>1</c:v>
                </c:pt>
                <c:pt idx="3">
                  <c:v>4.8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9010944"/>
        <c:axId val="89012480"/>
      </c:barChart>
      <c:catAx>
        <c:axId val="8901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9012480"/>
        <c:crosses val="autoZero"/>
        <c:auto val="1"/>
        <c:lblAlgn val="ctr"/>
        <c:lblOffset val="100"/>
        <c:noMultiLvlLbl val="0"/>
      </c:catAx>
      <c:valAx>
        <c:axId val="89012480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901094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2276211869877"/>
          <c:y val="0.0906817276112737"/>
          <c:w val="0.140527657342371"/>
          <c:h val="0.08651922353362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682303041707639"/>
          <c:y val="0.0660357588675165"/>
          <c:w val="0.903868815610247"/>
          <c:h val="0.8380070208070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0.0101279915807231"/>
                  <c:y val="-0.0080226680060220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21027105351232"/>
                  <c:y val="-0.0319939052667276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120663650075415"/>
                  <c:y val="-0.0293398533007335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120663650075415"/>
                  <c:y val="-0.0243451654104738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6000" tIns="0" rIns="72000" bIns="19050" anchor="ctr" anchorCtr="1">
                <a:spAutoFit/>
              </a:bodyPr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(руб.)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0.0120663650075415"/>
                  <c:y val="-0.012429716338933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6088486676722"/>
                  <c:y val="-0.030255028281892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160884866767221"/>
                  <c:y val="-0.0234300391595436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00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rPr>
                      <a:t>0</a:t>
                    </a:r>
                    <a:endParaRPr lang="en-US" sz="1000">
                      <a:ln>
                        <a:noFill/>
                      </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endParaRPr>
                  </a:p>
                </c:rich>
              </c:tx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1000" b="0" i="0" u="none" strike="noStrike" kern="1200" baseline="0">
                      <a:ln>
                        <a:noFill/>
                      </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224332495422576"/>
                  <c:y val="-0.029492126713420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190 530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0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(руб.)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190530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0714496"/>
        <c:axId val="90716032"/>
      </c:barChart>
      <c:catAx>
        <c:axId val="90714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90716032"/>
        <c:crosses val="autoZero"/>
        <c:auto val="1"/>
        <c:lblAlgn val="ctr"/>
        <c:lblOffset val="100"/>
        <c:noMultiLvlLbl val="0"/>
      </c:catAx>
      <c:valAx>
        <c:axId val="90716032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9071449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1425924831162"/>
          <c:y val="0.044805751205925"/>
          <c:w val="0.140370663458741"/>
          <c:h val="0.08897016393850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14"/>
      <c:depthPercent val="100"/>
      <c:rAngAx val="0"/>
      <c:perspective val="3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.240217164864774"/>
          <c:y val="0.257294481946106"/>
          <c:w val="0.57178687908431"/>
          <c:h val="0.4399819584117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explosion val="0"/>
          <c:dPt>
            <c:idx val="0"/>
            <c:bubble3D val="0"/>
            <c:explosion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explosion val="1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Pt>
            <c:idx val="2"/>
            <c:bubble3D val="0"/>
            <c:explosion val="1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Pt>
            <c:idx val="3"/>
            <c:bubble3D val="0"/>
            <c:explosion val="1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Pt>
            <c:idx val="4"/>
            <c:bubble3D val="0"/>
          </c:dPt>
          <c:dLbls>
            <c:dLbl>
              <c:idx val="0"/>
              <c:layout>
                <c:manualLayout>
                  <c:x val="-0.0387333214494876"/>
                  <c:y val="-0.051262422528654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>
                        <a:latin typeface="Times New Roman" panose="02020603050405020304" charset="0"/>
                        <a:cs typeface="Times New Roman" panose="02020603050405020304" charset="0"/>
                      </a:rPr>
                      <a:t>НПУиЭ электрооборудования</a:t>
                    </a:r>
                    <a:endParaRPr lang="ru-RU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>
                        <a:latin typeface="Times New Roman" panose="02020603050405020304" charset="0"/>
                        <a:cs typeface="Times New Roman" panose="02020603050405020304" charset="0"/>
                      </a:rPr>
                      <a:t>7
31,8%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0388096530536317"/>
                  <c:y val="-0.060405988643322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НПУиЭ печей</a:t>
                    </a:r>
                    <a:endParaRPr lang="ru-RU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2
9,1%</a:t>
                    </a:r>
                    <a:endParaRPr lang="ru-RU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847683215216968"/>
                  <c:y val="-0.075355648596160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НПУиЭ транспортных средств</a:t>
                    </a:r>
                    <a:endParaRPr lang="ru-RU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8
36,4%</a:t>
                    </a:r>
                    <a:endParaRPr lang="ru-RU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134821011088632"/>
                  <c:y val="0.0028865724999739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>
                        <a:latin typeface="Times New Roman" panose="02020603050405020304" charset="0"/>
                        <a:cs typeface="Times New Roman" panose="02020603050405020304" charset="0"/>
                      </a:rPr>
                      <a:t>Прочие причины пожаров </a:t>
                    </a:r>
                    <a:endParaRPr lang="ru-RU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>
                        <a:latin typeface="Times New Roman" panose="02020603050405020304" charset="0"/>
                        <a:cs typeface="Times New Roman" panose="02020603050405020304" charset="0"/>
                      </a:rPr>
                      <a:t>4</a:t>
                    </a:r>
                    <a:endParaRPr lang="ru-RU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18,2%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0313494218124297"/>
                  <c:y val="0.078120782511083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>
                        <a:latin typeface="Times New Roman" panose="02020603050405020304" charset="0"/>
                        <a:cs typeface="Times New Roman" panose="02020603050405020304" charset="0"/>
                      </a:rPr>
                      <a:t>НПУиЭ газового оборудования</a:t>
                    </a:r>
                    <a:endParaRPr lang="ru-RU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>
                        <a:latin typeface="Times New Roman" panose="02020603050405020304" charset="0"/>
                        <a:cs typeface="Times New Roman" panose="02020603050405020304" charset="0"/>
                      </a:rPr>
                      <a:t>1
4,5%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НПУиЭ электрооборудования</c:v>
                </c:pt>
                <c:pt idx="1">
                  <c:v>НПУиЭ печей</c:v>
                </c:pt>
                <c:pt idx="2">
                  <c:v>НПУиЭ транспортных средств</c:v>
                </c:pt>
                <c:pt idx="3">
                  <c:v>Прочие причины</c:v>
                </c:pt>
                <c:pt idx="4">
                  <c:v>НПУиЭ газового оборудования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36.4</c:v>
                </c:pt>
                <c:pt idx="1">
                  <c:v>9</c:v>
                </c:pt>
                <c:pt idx="2">
                  <c:v>36.4</c:v>
                </c:pt>
                <c:pt idx="3">
                  <c:v>18.2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prstDash val="solid"/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00"/>
      <c:depthPercent val="100"/>
      <c:rAngAx val="0"/>
      <c:perspective val="3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.0940667424431522"/>
          <c:y val="0.202912462275928"/>
          <c:w val="0.803209936934399"/>
          <c:h val="0.6217702848493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explosion val="9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Lbls>
            <c:dLbl>
              <c:idx val="0"/>
              <c:layout>
                <c:manualLayout>
                  <c:x val="-0.0464964070873723"/>
                  <c:y val="0.058342038700525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>
                        <a:latin typeface="Times New Roman" panose="02020603050405020304" charset="0"/>
                        <a:cs typeface="Times New Roman" panose="02020603050405020304" charset="0"/>
                      </a:rPr>
                      <a:t>Населённые</a:t>
                    </a: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 пункты</a:t>
                    </a:r>
                    <a:r>
                      <a:rPr lang="ru-RU">
                        <a:latin typeface="Times New Roman" panose="02020603050405020304" charset="0"/>
                        <a:cs typeface="Times New Roman" panose="02020603050405020304" charset="0"/>
                      </a:rPr>
                      <a:t>,
7</a:t>
                    </a:r>
                    <a:endParaRPr lang="ru-RU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>
                        <a:latin typeface="Times New Roman" panose="02020603050405020304" charset="0"/>
                        <a:cs typeface="Times New Roman" panose="02020603050405020304" charset="0"/>
                      </a:rPr>
                      <a:t>31,8%</a:t>
                    </a:r>
                    <a:endParaRPr lang="ru-RU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</c:rich>
              </c:tx>
              <c:numFmt formatCode="General" sourceLinked="1"/>
              <c:spPr>
                <a:noFill/>
                <a:ln>
                  <a:solidFill>
                    <a:sysClr val="windowText" lastClr="000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charset="0"/>
                      <a:ea typeface="+mn-ea"/>
                      <a:cs typeface="Times New Roman" panose="02020603050405020304" charset="0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480316122647167"/>
                  <c:y val="-0.052504159741420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Межселенная территория,
15</a:t>
                    </a:r>
                    <a:endParaRPr lang="ru-RU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+mn-ea"/>
                        <a:cs typeface="Times New Roman" panose="02020603050405020304" charset="0"/>
                      </a:defRPr>
                    </a:pPr>
                    <a:r>
                      <a:rPr lang="ru-RU" baseline="0">
                        <a:latin typeface="Times New Roman" panose="02020603050405020304" charset="0"/>
                        <a:cs typeface="Times New Roman" panose="02020603050405020304" charset="0"/>
                      </a:rPr>
                      <a:t>22,7%</a:t>
                    </a:r>
                    <a:endParaRPr lang="ru-RU" baseline="0">
                      <a:latin typeface="Times New Roman" panose="02020603050405020304" charset="0"/>
                      <a:cs typeface="Times New Roman" panose="02020603050405020304" charset="0"/>
                    </a:endParaRPr>
                  </a:p>
                </c:rich>
              </c:tx>
              <c:numFmt formatCode="General" sourceLinked="1"/>
              <c:spPr>
                <a:noFill/>
                <a:ln>
                  <a:solidFill>
                    <a:sysClr val="windowText" lastClr="000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charset="0"/>
                      <a:ea typeface="+mn-ea"/>
                      <a:cs typeface="Times New Roman" panose="02020603050405020304" charset="0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abriola" panose="04040605051002020D02" pitchFamily="82" charset="0"/>
                    <a:ea typeface="+mn-ea"/>
                    <a:cs typeface="+mn-cs"/>
                  </a:defRPr>
                </a:pPr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Населённые пункты</c:v>
                </c:pt>
                <c:pt idx="1">
                  <c:v>Межселенная территория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18.2</c:v>
                </c:pt>
                <c:pt idx="1">
                  <c:v>81.8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618856072799152"/>
          <c:y val="0.0660357588675165"/>
          <c:w val="0.903868815610247"/>
          <c:h val="0.8380070208070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0.0101279915807231"/>
                  <c:y val="-0.00802266800602209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21027105351232"/>
                  <c:y val="-0.0319939052667276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120663650075415"/>
                  <c:y val="-0.0293398533007335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120663650075415"/>
                  <c:y val="-0.0243451654104738"/>
                </c:manualLayout>
              </c:layout>
              <c:tx>
                <c:rich>
                  <a:bodyPr rot="0" spcFirstLastPara="1" vertOverflow="ellipsis" vert="horz" wrap="square" lIns="36000" tIns="0" rIns="720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6000" tIns="0" rIns="72000" bIns="19050" anchor="ctr" anchorCtr="1">
                <a:spAutoFit/>
              </a:bodyPr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(руб.)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0.0120663650075415"/>
                  <c:y val="-0.012429716338933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6088486676722"/>
                  <c:y val="-0.030255028281892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160884866767221"/>
                  <c:y val="-0.0234300391595436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00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rPr>
                      <a:t>0</a:t>
                    </a:r>
                    <a:endParaRPr lang="en-US" sz="1000">
                      <a:ln>
                        <a:noFill/>
                      </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endParaRPr>
                  </a:p>
                </c:rich>
              </c:tx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1000" b="0" i="0" u="none" strike="noStrike" kern="1200" baseline="0">
                      <a:ln>
                        <a:noFill/>
                      </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224332495422576"/>
                  <c:y val="-0.029492126713420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ln>
                          <a:noFill/>
                        </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0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(руб.)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3223552"/>
        <c:axId val="93233536"/>
      </c:barChart>
      <c:catAx>
        <c:axId val="93223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93233536"/>
        <c:crosses val="autoZero"/>
        <c:auto val="1"/>
        <c:lblAlgn val="ctr"/>
        <c:lblOffset val="100"/>
        <c:noMultiLvlLbl val="0"/>
      </c:catAx>
      <c:valAx>
        <c:axId val="93233536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9322355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1425924831162"/>
          <c:y val="0.044805751205925"/>
          <c:w val="0.140370663458741"/>
          <c:h val="0.08897016393850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 +100%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X="-54956" custLinFactNeighborX="-100000"/>
      <dgm:spPr>
        <a:xfrm rot="10800000">
          <a:off x="65400" y="0"/>
          <a:ext cx="425569" cy="319177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21794" custLinFactNeighborX="-1038" custLinFactNeighborY="21329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569642A4-CD8A-4E5F-88F4-562C500C7DE8}" type="presOf" srcId="{47F7C53E-49CE-454C-B66B-F2DCD8B55C6E}" destId="{7C264C29-F1EC-485D-B42C-1D49763E8399}" srcOrd="0" destOrd="0" presId="urn:microsoft.com/office/officeart/2005/8/layout/arrow4"/>
    <dgm:cxn modelId="{B6D989F2-5807-474A-8A03-DC5CA4DEE554}" type="presOf" srcId="{BDBE9051-05F0-4258-887D-2AFE86A1CC80}" destId="{5238613C-871D-431E-9CD0-D8797FFEF976}" srcOrd="0" destOrd="0" presId="urn:microsoft.com/office/officeart/2005/8/layout/arrow4"/>
    <dgm:cxn modelId="{F3F89DFA-A511-48D3-8882-C987677F53E6}" type="presParOf" srcId="{7C264C29-F1EC-485D-B42C-1D49763E8399}" destId="{E6BD97CD-2BA5-4707-9356-5DF419942C1E}" srcOrd="0" destOrd="0" presId="urn:microsoft.com/office/officeart/2005/8/layout/arrow4"/>
    <dgm:cxn modelId="{AE695992-701E-4BBC-A920-506CC03FC4AB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colorful1#1" csCatId="colorful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547773" y="0"/>
          <a:ext cx="859881" cy="318770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10800000" custLinFactNeighborX="61975"/>
      <dgm:spPr>
        <a:xfrm>
          <a:off x="118921" y="0"/>
          <a:ext cx="425026" cy="318770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LinFactNeighborX="13797" custLinFactNeighborY="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B242FFD4-C375-46DB-8D86-9392AF32121B}" type="presOf" srcId="{47F7C53E-49CE-454C-B66B-F2DCD8B55C6E}" destId="{7C264C29-F1EC-485D-B42C-1D49763E8399}" srcOrd="0" destOrd="0" presId="urn:microsoft.com/office/officeart/2005/8/layout/arrow4"/>
    <dgm:cxn modelId="{A7A6E8D1-7AE2-477A-B35A-18C52794154B}" type="presOf" srcId="{BDBE9051-05F0-4258-887D-2AFE86A1CC80}" destId="{5238613C-871D-431E-9CD0-D8797FFEF976}" srcOrd="0" destOrd="0" presId="urn:microsoft.com/office/officeart/2005/8/layout/arrow4"/>
    <dgm:cxn modelId="{1F43F7B4-49B7-4497-9032-E46378B4F87A}" type="presParOf" srcId="{7C264C29-F1EC-485D-B42C-1D49763E8399}" destId="{E6BD97CD-2BA5-4707-9356-5DF419942C1E}" srcOrd="0" destOrd="0" presId="urn:microsoft.com/office/officeart/2005/8/layout/arrow4"/>
    <dgm:cxn modelId="{327392F5-6405-453B-9EF5-9FC81512B1A5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2_4" csCatId="accent2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>
          <a:outerShdw blurRad="50800" dist="50800" dir="5400000" algn="ctr" rotWithShape="0">
            <a:schemeClr val="bg1"/>
          </a:outerShdw>
        </a:effectLst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0%  </a:t>
          </a:r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23713" custLinFactNeighborY="10870"/>
      <dgm:spPr>
        <a:xfrm>
          <a:off x="65400" y="0"/>
          <a:ext cx="425569" cy="319177"/>
        </a:xfrm>
        <a:solidFill>
          <a:schemeClr val="bg1"/>
        </a:solidFill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Ang="0" custScaleX="118113" custLinFactNeighborX="-10706" custLinFactNeighborY="58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09F6915F-E286-4732-BBD2-A4DA12D2395C}" type="presOf" srcId="{47F7C53E-49CE-454C-B66B-F2DCD8B55C6E}" destId="{7C264C29-F1EC-485D-B42C-1D49763E8399}" srcOrd="0" destOrd="0" presId="urn:microsoft.com/office/officeart/2005/8/layout/arrow4"/>
    <dgm:cxn modelId="{D9F83B6F-D5C4-466D-A43F-58BE3C12D567}" type="presOf" srcId="{BDBE9051-05F0-4258-887D-2AFE86A1CC80}" destId="{5238613C-871D-431E-9CD0-D8797FFEF976}" srcOrd="0" destOrd="0" presId="urn:microsoft.com/office/officeart/2005/8/layout/arrow4"/>
    <dgm:cxn modelId="{4DA869C3-70DC-488B-A130-4EE8D0569908}" type="presParOf" srcId="{7C264C29-F1EC-485D-B42C-1D49763E8399}" destId="{E6BD97CD-2BA5-4707-9356-5DF419942C1E}" srcOrd="0" destOrd="0" presId="urn:microsoft.com/office/officeart/2005/8/layout/arrow4"/>
    <dgm:cxn modelId="{CE143E7C-8926-49F6-BC04-0A0B5D780FC5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+в 2 р.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-25595"/>
      <dgm:spPr>
        <a:xfrm rot="10800000">
          <a:off x="65400" y="0"/>
          <a:ext cx="425569" cy="319177"/>
        </a:xfrm>
        <a:prstGeom prst="upArrow">
          <a:avLst/>
        </a:prstGeom>
        <a:noFill/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22781" custLinFactY="91045" custLinFactNeighborX="-6679" custLinFactNeighborY="10000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60011FE6-14A1-4290-9180-6B905BA31F27}" type="presOf" srcId="{47F7C53E-49CE-454C-B66B-F2DCD8B55C6E}" destId="{7C264C29-F1EC-485D-B42C-1D49763E8399}" srcOrd="0" destOrd="0" presId="urn:microsoft.com/office/officeart/2005/8/layout/arrow4"/>
    <dgm:cxn modelId="{F3DE249B-EF8E-452A-914F-602FC030CFDD}" type="presOf" srcId="{BDBE9051-05F0-4258-887D-2AFE86A1CC80}" destId="{5238613C-871D-431E-9CD0-D8797FFEF976}" srcOrd="0" destOrd="0" presId="urn:microsoft.com/office/officeart/2005/8/layout/arrow4"/>
    <dgm:cxn modelId="{9F38E4D9-DBCF-48F0-87E3-2D89083E3DCC}" type="presParOf" srcId="{7C264C29-F1EC-485D-B42C-1D49763E8399}" destId="{E6BD97CD-2BA5-4707-9356-5DF419942C1E}" srcOrd="0" destOrd="0" presId="urn:microsoft.com/office/officeart/2005/8/layout/arrow4"/>
    <dgm:cxn modelId="{7E9448C8-0F9C-493C-BBCF-A0E540C1AD27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10800000" custLinFactNeighborX="57633"/>
      <dgm:spPr>
        <a:xfrm rot="10800000">
          <a:off x="65400" y="0"/>
          <a:ext cx="425569" cy="319177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LinFactNeighborX="-1038" custLinFactNeighborY="21329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52CCD53B-90E3-46B9-8BD7-496E17588E76}" type="presOf" srcId="{BDBE9051-05F0-4258-887D-2AFE86A1CC80}" destId="{5238613C-871D-431E-9CD0-D8797FFEF976}" srcOrd="0" destOrd="0" presId="urn:microsoft.com/office/officeart/2005/8/layout/arrow4"/>
    <dgm:cxn modelId="{DA15AA2A-3B6A-4352-B175-3D7600C1EA8B}" type="presOf" srcId="{47F7C53E-49CE-454C-B66B-F2DCD8B55C6E}" destId="{7C264C29-F1EC-485D-B42C-1D49763E8399}" srcOrd="0" destOrd="0" presId="urn:microsoft.com/office/officeart/2005/8/layout/arrow4"/>
    <dgm:cxn modelId="{9EEF03B9-F4BB-43CF-8516-172C0D91DF26}" type="presParOf" srcId="{7C264C29-F1EC-485D-B42C-1D49763E8399}" destId="{E6BD97CD-2BA5-4707-9356-5DF419942C1E}" srcOrd="0" destOrd="0" presId="urn:microsoft.com/office/officeart/2005/8/layout/arrow4"/>
    <dgm:cxn modelId="{DAFBEF56-270D-45A0-8098-E823F5C07A69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+100%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X="-100000" custLinFactNeighborX="-127143" custLinFactNeighborY="8621"/>
      <dgm:spPr>
        <a:xfrm rot="10800000">
          <a:off x="65400" y="0"/>
          <a:ext cx="425569" cy="319177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40408" custLinFactY="91045" custLinFactNeighborX="-6679" custLinFactNeighborY="10000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38DBCDC7-A77F-4A09-9053-48BAF55CCA1A}" type="presOf" srcId="{BDBE9051-05F0-4258-887D-2AFE86A1CC80}" destId="{5238613C-871D-431E-9CD0-D8797FFEF976}" srcOrd="0" destOrd="0" presId="urn:microsoft.com/office/officeart/2005/8/layout/arrow4"/>
    <dgm:cxn modelId="{EC87D41E-83E6-4B57-8F8F-D368B24FBCBD}" type="presOf" srcId="{47F7C53E-49CE-454C-B66B-F2DCD8B55C6E}" destId="{7C264C29-F1EC-485D-B42C-1D49763E8399}" srcOrd="0" destOrd="0" presId="urn:microsoft.com/office/officeart/2005/8/layout/arrow4"/>
    <dgm:cxn modelId="{7C6ED362-48E9-4806-A16F-CFE6672DBFFE}" type="presParOf" srcId="{7C264C29-F1EC-485D-B42C-1D49763E8399}" destId="{E6BD97CD-2BA5-4707-9356-5DF419942C1E}" srcOrd="0" destOrd="0" presId="urn:microsoft.com/office/officeart/2005/8/layout/arrow4"/>
    <dgm:cxn modelId="{2404BBDC-4854-480E-949F-B2F3C996A8C4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+в 9 р.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-25595"/>
      <dgm:spPr>
        <a:xfrm rot="10800000">
          <a:off x="65400" y="0"/>
          <a:ext cx="425569" cy="319177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40408" custLinFactNeighborX="27766" custLinFactNeighborY="-52019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71792FDF-B150-4A67-A3E0-08D41709A310}" type="presOf" srcId="{47F7C53E-49CE-454C-B66B-F2DCD8B55C6E}" destId="{7C264C29-F1EC-485D-B42C-1D49763E8399}" srcOrd="0" destOrd="0" presId="urn:microsoft.com/office/officeart/2005/8/layout/arrow4"/>
    <dgm:cxn modelId="{02B75C6E-3EF5-4424-B584-0E5DFDF65D40}" type="presOf" srcId="{BDBE9051-05F0-4258-887D-2AFE86A1CC80}" destId="{5238613C-871D-431E-9CD0-D8797FFEF976}" srcOrd="0" destOrd="0" presId="urn:microsoft.com/office/officeart/2005/8/layout/arrow4"/>
    <dgm:cxn modelId="{3CFF139C-82EB-49E6-8B25-0F97A5664538}" type="presParOf" srcId="{7C264C29-F1EC-485D-B42C-1D49763E8399}" destId="{E6BD97CD-2BA5-4707-9356-5DF419942C1E}" srcOrd="0" destOrd="0" presId="urn:microsoft.com/office/officeart/2005/8/layout/arrow4"/>
    <dgm:cxn modelId="{C9D63D27-BB58-4778-9402-250F97D000DB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+100%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-25595"/>
      <dgm:spPr>
        <a:xfrm rot="10800000">
          <a:off x="65400" y="0"/>
          <a:ext cx="425569" cy="319177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40408" custLinFactY="91045" custLinFactNeighborX="-6679" custLinFactNeighborY="10000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B1903236-A978-4ABC-B0E5-54D3FA34E6E0}" type="presOf" srcId="{BDBE9051-05F0-4258-887D-2AFE86A1CC80}" destId="{5238613C-871D-431E-9CD0-D8797FFEF976}" srcOrd="0" destOrd="0" presId="urn:microsoft.com/office/officeart/2005/8/layout/arrow4"/>
    <dgm:cxn modelId="{7EC6016E-CA43-494F-9904-8F52B6E58A9D}" type="presOf" srcId="{47F7C53E-49CE-454C-B66B-F2DCD8B55C6E}" destId="{7C264C29-F1EC-485D-B42C-1D49763E8399}" srcOrd="0" destOrd="0" presId="urn:microsoft.com/office/officeart/2005/8/layout/arrow4"/>
    <dgm:cxn modelId="{97349DCC-63E9-4484-B638-A37E1432E114}" type="presParOf" srcId="{7C264C29-F1EC-485D-B42C-1D49763E8399}" destId="{E6BD97CD-2BA5-4707-9356-5DF419942C1E}" srcOrd="0" destOrd="0" presId="urn:microsoft.com/office/officeart/2005/8/layout/arrow4"/>
    <dgm:cxn modelId="{3129BE0E-48B2-49A0-806D-64941A02F6EE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2_4" csCatId="accent2" phldr="1"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</dgm:ptLst>
  <dgm:cxnLst>
    <dgm:cxn modelId="{3424A549-88CE-43CE-B8F8-D44D67E8E0F3}" type="presOf" srcId="{47F7C53E-49CE-454C-B66B-F2DCD8B55C6E}" destId="{7C264C29-F1EC-485D-B42C-1D49763E8399}" srcOrd="0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96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10800000" custLinFactNeighborX="31312"/>
      <dgm:spPr>
        <a:xfrm rot="10800000">
          <a:off x="65400" y="0"/>
          <a:ext cx="425569" cy="319177"/>
        </a:xfrm>
        <a:prstGeom prst="upArrow">
          <a:avLst/>
        </a:prstGeom>
        <a:noFill/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45967" custLinFactNeighborX="-1038" custLinFactNeighborY="21329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C9FE0592-4524-46C8-AD63-3A85083CF9F7}" type="presOf" srcId="{BDBE9051-05F0-4258-887D-2AFE86A1CC80}" destId="{5238613C-871D-431E-9CD0-D8797FFEF976}" srcOrd="0" destOrd="0" presId="urn:microsoft.com/office/officeart/2005/8/layout/arrow4"/>
    <dgm:cxn modelId="{D4FD9E8B-6E7C-4825-A3A2-C4580979FBFB}" type="presOf" srcId="{47F7C53E-49CE-454C-B66B-F2DCD8B55C6E}" destId="{7C264C29-F1EC-485D-B42C-1D49763E8399}" srcOrd="0" destOrd="0" presId="urn:microsoft.com/office/officeart/2005/8/layout/arrow4"/>
    <dgm:cxn modelId="{61EA8FBF-D8AD-42E8-BD52-A3EDA4F491C6}" type="presParOf" srcId="{7C264C29-F1EC-485D-B42C-1D49763E8399}" destId="{E6BD97CD-2BA5-4707-9356-5DF419942C1E}" srcOrd="0" destOrd="0" presId="urn:microsoft.com/office/officeart/2005/8/layout/arrow4"/>
    <dgm:cxn modelId="{2091C92D-80EA-4D52-B769-5AE7136C613B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+100 %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-25595"/>
      <dgm:spPr>
        <a:xfrm rot="10800000">
          <a:off x="65400" y="0"/>
          <a:ext cx="425569" cy="319177"/>
        </a:xfrm>
        <a:prstGeom prst="upArrow">
          <a:avLst/>
        </a:prstGeom>
        <a:noFill/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22781" custLinFactY="91045" custLinFactNeighborX="-6679" custLinFactNeighborY="10000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DA4D6070-05CA-4207-B3FA-5D806B7752BA}" type="presOf" srcId="{BDBE9051-05F0-4258-887D-2AFE86A1CC80}" destId="{5238613C-871D-431E-9CD0-D8797FFEF976}" srcOrd="0" destOrd="0" presId="urn:microsoft.com/office/officeart/2005/8/layout/arrow4"/>
    <dgm:cxn modelId="{E50447DD-5217-4D92-BA5B-E376DCD25B90}" type="presOf" srcId="{47F7C53E-49CE-454C-B66B-F2DCD8B55C6E}" destId="{7C264C29-F1EC-485D-B42C-1D49763E8399}" srcOrd="0" destOrd="0" presId="urn:microsoft.com/office/officeart/2005/8/layout/arrow4"/>
    <dgm:cxn modelId="{70ED9D2C-8C28-4FAA-995E-4A611EE733BB}" type="presParOf" srcId="{7C264C29-F1EC-485D-B42C-1D49763E8399}" destId="{E6BD97CD-2BA5-4707-9356-5DF419942C1E}" srcOrd="0" destOrd="0" presId="urn:microsoft.com/office/officeart/2005/8/layout/arrow4"/>
    <dgm:cxn modelId="{2215438B-4EE3-4C1E-BF26-D36E94090E3F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0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 +100%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X="-54956" custLinFactNeighborX="-100000"/>
      <dgm:spPr>
        <a:xfrm rot="10800000">
          <a:off x="65400" y="0"/>
          <a:ext cx="425569" cy="319177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21794" custLinFactNeighborX="-1038" custLinFactNeighborY="21329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AB26AF69-F2C0-4D8A-9B15-46915A772CD6}" type="presOf" srcId="{47F7C53E-49CE-454C-B66B-F2DCD8B55C6E}" destId="{7C264C29-F1EC-485D-B42C-1D49763E8399}" srcOrd="0" destOrd="0" presId="urn:microsoft.com/office/officeart/2005/8/layout/arrow4"/>
    <dgm:cxn modelId="{486AA0BA-FBDD-4B09-88C6-EC126696BE56}" type="presOf" srcId="{BDBE9051-05F0-4258-887D-2AFE86A1CC80}" destId="{5238613C-871D-431E-9CD0-D8797FFEF976}" srcOrd="0" destOrd="0" presId="urn:microsoft.com/office/officeart/2005/8/layout/arrow4"/>
    <dgm:cxn modelId="{A0B86A8A-431F-4A31-9C1B-D0379F763B47}" type="presParOf" srcId="{7C264C29-F1EC-485D-B42C-1D49763E8399}" destId="{E6BD97CD-2BA5-4707-9356-5DF419942C1E}" srcOrd="0" destOrd="0" presId="urn:microsoft.com/office/officeart/2005/8/layout/arrow4"/>
    <dgm:cxn modelId="{4F346AB8-BB1E-4C7D-AF6B-2BDC49611410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+100 %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-25595"/>
      <dgm:spPr>
        <a:xfrm rot="10800000">
          <a:off x="65400" y="0"/>
          <a:ext cx="425569" cy="319177"/>
        </a:xfrm>
        <a:prstGeom prst="upArrow">
          <a:avLst/>
        </a:prstGeom>
        <a:noFill/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22781" custLinFactY="91045" custLinFactNeighborX="-6679" custLinFactNeighborY="10000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951C164E-1FB8-49A0-9F91-BFB2F51B806C}" type="presOf" srcId="{47F7C53E-49CE-454C-B66B-F2DCD8B55C6E}" destId="{7C264C29-F1EC-485D-B42C-1D49763E8399}" srcOrd="0" destOrd="0" presId="urn:microsoft.com/office/officeart/2005/8/layout/arrow4"/>
    <dgm:cxn modelId="{37E525B0-BA75-450A-807B-203CC2EC0AA6}" type="presOf" srcId="{BDBE9051-05F0-4258-887D-2AFE86A1CC80}" destId="{5238613C-871D-431E-9CD0-D8797FFEF976}" srcOrd="0" destOrd="0" presId="urn:microsoft.com/office/officeart/2005/8/layout/arrow4"/>
    <dgm:cxn modelId="{B203875D-DE6D-4596-8D81-839D1BEE9EDD}" type="presParOf" srcId="{7C264C29-F1EC-485D-B42C-1D49763E8399}" destId="{E6BD97CD-2BA5-4707-9356-5DF419942C1E}" srcOrd="0" destOrd="0" presId="urn:microsoft.com/office/officeart/2005/8/layout/arrow4"/>
    <dgm:cxn modelId="{C83A39B2-091A-49C0-ACC1-A6F8189D4E27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13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2_4" csCatId="accent2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>
          <a:outerShdw blurRad="50800" dist="50800" dir="5400000" algn="ctr" rotWithShape="0">
            <a:schemeClr val="bg1"/>
          </a:outerShdw>
        </a:effectLst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0%  </a:t>
          </a:r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23713" custLinFactNeighborY="10870"/>
      <dgm:spPr>
        <a:xfrm>
          <a:off x="65400" y="0"/>
          <a:ext cx="425569" cy="319177"/>
        </a:xfrm>
        <a:solidFill>
          <a:schemeClr val="bg1"/>
        </a:solidFill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Ang="0" custScaleX="118113" custLinFactNeighborX="-10706" custLinFactNeighborY="58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D44D5485-AAD8-425E-80B0-41187F1E6166}" type="presOf" srcId="{BDBE9051-05F0-4258-887D-2AFE86A1CC80}" destId="{5238613C-871D-431E-9CD0-D8797FFEF976}" srcOrd="0" destOrd="0" presId="urn:microsoft.com/office/officeart/2005/8/layout/arrow4"/>
    <dgm:cxn modelId="{4AF73E32-015A-4FD6-B3F6-B60886239A3E}" type="presOf" srcId="{47F7C53E-49CE-454C-B66B-F2DCD8B55C6E}" destId="{7C264C29-F1EC-485D-B42C-1D49763E8399}" srcOrd="0" destOrd="0" presId="urn:microsoft.com/office/officeart/2005/8/layout/arrow4"/>
    <dgm:cxn modelId="{8CBED424-62F4-47FD-A2A8-1F6DF2DC69BC}" type="presParOf" srcId="{7C264C29-F1EC-485D-B42C-1D49763E8399}" destId="{E6BD97CD-2BA5-4707-9356-5DF419942C1E}" srcOrd="0" destOrd="0" presId="urn:microsoft.com/office/officeart/2005/8/layout/arrow4"/>
    <dgm:cxn modelId="{5ACD2C14-0224-49C4-AE23-6C8B07C7571F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18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10800000" custLinFactNeighborX="57633"/>
      <dgm:spPr>
        <a:xfrm rot="10800000">
          <a:off x="65400" y="0"/>
          <a:ext cx="425569" cy="319177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LinFactNeighborX="-1038" custLinFactNeighborY="21329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8736343F-B68D-4DFE-BEDB-C17CC38C128B}" type="presOf" srcId="{47F7C53E-49CE-454C-B66B-F2DCD8B55C6E}" destId="{7C264C29-F1EC-485D-B42C-1D49763E8399}" srcOrd="0" destOrd="0" presId="urn:microsoft.com/office/officeart/2005/8/layout/arrow4"/>
    <dgm:cxn modelId="{0AEB2B6C-C94D-405D-9953-6D7669B9F56B}" type="presOf" srcId="{BDBE9051-05F0-4258-887D-2AFE86A1CC80}" destId="{5238613C-871D-431E-9CD0-D8797FFEF976}" srcOrd="0" destOrd="0" presId="urn:microsoft.com/office/officeart/2005/8/layout/arrow4"/>
    <dgm:cxn modelId="{AB7D23C1-9326-4CFC-A3F1-1626B120DF39}" type="presParOf" srcId="{7C264C29-F1EC-485D-B42C-1D49763E8399}" destId="{E6BD97CD-2BA5-4707-9356-5DF419942C1E}" srcOrd="0" destOrd="0" presId="urn:microsoft.com/office/officeart/2005/8/layout/arrow4"/>
    <dgm:cxn modelId="{B146E913-985D-43FE-9F4C-892B914C89A6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23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colorful1#1" csCatId="colorful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547773" y="0"/>
          <a:ext cx="859881" cy="318770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10800000" custLinFactNeighborX="61975"/>
      <dgm:spPr>
        <a:xfrm>
          <a:off x="118921" y="0"/>
          <a:ext cx="425026" cy="318770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LinFactNeighborX="13797" custLinFactNeighborY="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BBEB9DE2-DCC4-4E38-8384-B9F6D268A3B2}" type="presOf" srcId="{47F7C53E-49CE-454C-B66B-F2DCD8B55C6E}" destId="{7C264C29-F1EC-485D-B42C-1D49763E8399}" srcOrd="0" destOrd="0" presId="urn:microsoft.com/office/officeart/2005/8/layout/arrow4"/>
    <dgm:cxn modelId="{B2243617-CC7C-4385-B509-92C8849C67B9}" type="presOf" srcId="{BDBE9051-05F0-4258-887D-2AFE86A1CC80}" destId="{5238613C-871D-431E-9CD0-D8797FFEF976}" srcOrd="0" destOrd="0" presId="urn:microsoft.com/office/officeart/2005/8/layout/arrow4"/>
    <dgm:cxn modelId="{5D7DB8FF-6E42-486F-84AF-69BE98220F47}" type="presParOf" srcId="{7C264C29-F1EC-485D-B42C-1D49763E8399}" destId="{E6BD97CD-2BA5-4707-9356-5DF419942C1E}" srcOrd="0" destOrd="0" presId="urn:microsoft.com/office/officeart/2005/8/layout/arrow4"/>
    <dgm:cxn modelId="{E3888E8F-05C7-427E-BAE5-36BB9FE74B68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31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2_4" csCatId="accent2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>
          <a:outerShdw blurRad="50800" dist="50800" dir="5400000" algn="ctr" rotWithShape="0">
            <a:schemeClr val="bg1"/>
          </a:outerShdw>
        </a:effectLst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0%  </a:t>
          </a:r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23713" custLinFactNeighborY="10870"/>
      <dgm:spPr>
        <a:xfrm>
          <a:off x="65400" y="0"/>
          <a:ext cx="425569" cy="319177"/>
        </a:xfrm>
        <a:solidFill>
          <a:schemeClr val="bg1"/>
        </a:solidFill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Ang="0" custScaleX="118113" custLinFactNeighborX="-10706" custLinFactNeighborY="58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076F6FE5-FB09-4A8F-BACE-57B2933C155B}" type="presOf" srcId="{47F7C53E-49CE-454C-B66B-F2DCD8B55C6E}" destId="{7C264C29-F1EC-485D-B42C-1D49763E8399}" srcOrd="0" destOrd="0" presId="urn:microsoft.com/office/officeart/2005/8/layout/arrow4"/>
    <dgm:cxn modelId="{A58FCCBC-A42D-426D-BAE6-1DF55014D905}" type="presOf" srcId="{BDBE9051-05F0-4258-887D-2AFE86A1CC80}" destId="{5238613C-871D-431E-9CD0-D8797FFEF976}" srcOrd="0" destOrd="0" presId="urn:microsoft.com/office/officeart/2005/8/layout/arrow4"/>
    <dgm:cxn modelId="{5F96F53B-C258-4696-AAE6-8F5D873B2714}" type="presParOf" srcId="{7C264C29-F1EC-485D-B42C-1D49763E8399}" destId="{E6BD97CD-2BA5-4707-9356-5DF419942C1E}" srcOrd="0" destOrd="0" presId="urn:microsoft.com/office/officeart/2005/8/layout/arrow4"/>
    <dgm:cxn modelId="{A209DB87-95F4-4566-8BD5-EE5EE498238F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36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+в 2 р.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-25595"/>
      <dgm:spPr>
        <a:xfrm rot="10800000">
          <a:off x="65400" y="0"/>
          <a:ext cx="425569" cy="319177"/>
        </a:xfrm>
        <a:prstGeom prst="upArrow">
          <a:avLst/>
        </a:prstGeom>
        <a:noFill/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22781" custLinFactY="91045" custLinFactNeighborX="-6679" custLinFactNeighborY="10000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B1107CD6-BCDD-4002-9E94-FEE6A720718C}" type="presOf" srcId="{47F7C53E-49CE-454C-B66B-F2DCD8B55C6E}" destId="{7C264C29-F1EC-485D-B42C-1D49763E8399}" srcOrd="0" destOrd="0" presId="urn:microsoft.com/office/officeart/2005/8/layout/arrow4"/>
    <dgm:cxn modelId="{D2EDD7BD-6923-40C0-AC8C-1747EA577796}" type="presOf" srcId="{BDBE9051-05F0-4258-887D-2AFE86A1CC80}" destId="{5238613C-871D-431E-9CD0-D8797FFEF976}" srcOrd="0" destOrd="0" presId="urn:microsoft.com/office/officeart/2005/8/layout/arrow4"/>
    <dgm:cxn modelId="{773D258A-A556-43A2-81B6-5E946D4CB483}" type="presParOf" srcId="{7C264C29-F1EC-485D-B42C-1D49763E8399}" destId="{E6BD97CD-2BA5-4707-9356-5DF419942C1E}" srcOrd="0" destOrd="0" presId="urn:microsoft.com/office/officeart/2005/8/layout/arrow4"/>
    <dgm:cxn modelId="{BEF99021-5455-4AB9-B82F-596640468518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41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10800000" custLinFactNeighborX="57633"/>
      <dgm:spPr>
        <a:xfrm rot="10800000">
          <a:off x="65400" y="0"/>
          <a:ext cx="425569" cy="319177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LinFactNeighborX="-1038" custLinFactNeighborY="21329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9DD6624C-BB46-4D0C-9D9E-3070B87C4C0D}" type="presOf" srcId="{47F7C53E-49CE-454C-B66B-F2DCD8B55C6E}" destId="{7C264C29-F1EC-485D-B42C-1D49763E8399}" srcOrd="0" destOrd="0" presId="urn:microsoft.com/office/officeart/2005/8/layout/arrow4"/>
    <dgm:cxn modelId="{D4D2FFB4-6AB7-428D-917D-E7A7BD460519}" type="presOf" srcId="{BDBE9051-05F0-4258-887D-2AFE86A1CC80}" destId="{5238613C-871D-431E-9CD0-D8797FFEF976}" srcOrd="0" destOrd="0" presId="urn:microsoft.com/office/officeart/2005/8/layout/arrow4"/>
    <dgm:cxn modelId="{4BB48554-323D-4833-9212-A8D903DBB743}" type="presParOf" srcId="{7C264C29-F1EC-485D-B42C-1D49763E8399}" destId="{E6BD97CD-2BA5-4707-9356-5DF419942C1E}" srcOrd="0" destOrd="0" presId="urn:microsoft.com/office/officeart/2005/8/layout/arrow4"/>
    <dgm:cxn modelId="{BCFB4E61-348B-4AF9-BA8B-A97A15691E08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46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+100%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-25595"/>
      <dgm:spPr>
        <a:xfrm rot="10800000">
          <a:off x="65400" y="0"/>
          <a:ext cx="425569" cy="319177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40408" custLinFactY="91045" custLinFactNeighborX="-6679" custLinFactNeighborY="10000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40385F31-A5CC-417E-801D-2431A5BE95D3}" type="presOf" srcId="{47F7C53E-49CE-454C-B66B-F2DCD8B55C6E}" destId="{7C264C29-F1EC-485D-B42C-1D49763E8399}" srcOrd="0" destOrd="0" presId="urn:microsoft.com/office/officeart/2005/8/layout/arrow4"/>
    <dgm:cxn modelId="{3ECB51BA-C5BA-481E-8125-2A8AD8CF18BE}" type="presOf" srcId="{BDBE9051-05F0-4258-887D-2AFE86A1CC80}" destId="{5238613C-871D-431E-9CD0-D8797FFEF976}" srcOrd="0" destOrd="0" presId="urn:microsoft.com/office/officeart/2005/8/layout/arrow4"/>
    <dgm:cxn modelId="{D68F12D9-8642-4458-8141-BC3ED86ACC88}" type="presParOf" srcId="{7C264C29-F1EC-485D-B42C-1D49763E8399}" destId="{E6BD97CD-2BA5-4707-9356-5DF419942C1E}" srcOrd="0" destOrd="0" presId="urn:microsoft.com/office/officeart/2005/8/layout/arrow4"/>
    <dgm:cxn modelId="{00CE3867-68DE-4A82-8B55-57AE46F64E55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53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+100%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-25595"/>
      <dgm:spPr>
        <a:xfrm rot="10800000">
          <a:off x="65400" y="0"/>
          <a:ext cx="425569" cy="319177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40408" custLinFactY="91045" custLinFactNeighborX="-6679" custLinFactNeighborY="10000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9AFEC1DB-D9D3-46B5-8AED-CC46A38B857F}" type="presOf" srcId="{47F7C53E-49CE-454C-B66B-F2DCD8B55C6E}" destId="{7C264C29-F1EC-485D-B42C-1D49763E8399}" srcOrd="0" destOrd="0" presId="urn:microsoft.com/office/officeart/2005/8/layout/arrow4"/>
    <dgm:cxn modelId="{7FCF68C2-2F66-4AB1-AEDB-29E81DD44A01}" type="presOf" srcId="{BDBE9051-05F0-4258-887D-2AFE86A1CC80}" destId="{5238613C-871D-431E-9CD0-D8797FFEF976}" srcOrd="0" destOrd="0" presId="urn:microsoft.com/office/officeart/2005/8/layout/arrow4"/>
    <dgm:cxn modelId="{A1B08AFC-BB7C-49A2-A131-749D42C11802}" type="presParOf" srcId="{7C264C29-F1EC-485D-B42C-1D49763E8399}" destId="{E6BD97CD-2BA5-4707-9356-5DF419942C1E}" srcOrd="0" destOrd="0" presId="urn:microsoft.com/office/officeart/2005/8/layout/arrow4"/>
    <dgm:cxn modelId="{A6145686-CB88-46FE-9B49-ECD2072A9D27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58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+100%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-25595"/>
      <dgm:spPr>
        <a:xfrm rot="10800000">
          <a:off x="65400" y="0"/>
          <a:ext cx="425569" cy="319177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40408" custLinFactY="91045" custLinFactNeighborX="-6679" custLinFactNeighborY="10000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E6E43AA2-6C38-4AA4-9AD7-4FFF53E3D17B}" type="presOf" srcId="{47F7C53E-49CE-454C-B66B-F2DCD8B55C6E}" destId="{7C264C29-F1EC-485D-B42C-1D49763E8399}" srcOrd="0" destOrd="0" presId="urn:microsoft.com/office/officeart/2005/8/layout/arrow4"/>
    <dgm:cxn modelId="{48A4C793-C5DC-4518-B686-63376F505623}" type="presOf" srcId="{BDBE9051-05F0-4258-887D-2AFE86A1CC80}" destId="{5238613C-871D-431E-9CD0-D8797FFEF976}" srcOrd="0" destOrd="0" presId="urn:microsoft.com/office/officeart/2005/8/layout/arrow4"/>
    <dgm:cxn modelId="{DF4D7BFA-6DF1-418A-92A6-A0BAC3DE4331}" type="presParOf" srcId="{7C264C29-F1EC-485D-B42C-1D49763E8399}" destId="{E6BD97CD-2BA5-4707-9356-5DF419942C1E}" srcOrd="0" destOrd="0" presId="urn:microsoft.com/office/officeart/2005/8/layout/arrow4"/>
    <dgm:cxn modelId="{93590836-FDF7-4014-AADD-E6D1ABBDF009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6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2_4" csCatId="accent2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   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10800000" custLinFactNeighborX="41303" custLinFactNeighborY="-21364"/>
      <dgm:spPr>
        <a:xfrm>
          <a:off x="65400" y="0"/>
          <a:ext cx="425569" cy="319177"/>
        </a:xfrm>
        <a:solidFill>
          <a:schemeClr val="bg1"/>
        </a:solidFill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78571" custLinFactX="57715" custLinFactY="200000" custLinFactNeighborX="100000" custLinFactNeighborY="293517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701C1EAE-4B5F-41E5-BBBA-251FC6E38228}" type="presOf" srcId="{BDBE9051-05F0-4258-887D-2AFE86A1CC80}" destId="{5238613C-871D-431E-9CD0-D8797FFEF976}" srcOrd="0" destOrd="0" presId="urn:microsoft.com/office/officeart/2005/8/layout/arrow4"/>
    <dgm:cxn modelId="{09DABCF9-94F4-45D3-BA72-15A077C55929}" type="presOf" srcId="{47F7C53E-49CE-454C-B66B-F2DCD8B55C6E}" destId="{7C264C29-F1EC-485D-B42C-1D49763E8399}" srcOrd="0" destOrd="0" presId="urn:microsoft.com/office/officeart/2005/8/layout/arrow4"/>
    <dgm:cxn modelId="{65C815F0-4FEA-42F8-82F3-87777386C07D}" type="presParOf" srcId="{7C264C29-F1EC-485D-B42C-1D49763E8399}" destId="{E6BD97CD-2BA5-4707-9356-5DF419942C1E}" srcOrd="0" destOrd="0" presId="urn:microsoft.com/office/officeart/2005/8/layout/arrow4"/>
    <dgm:cxn modelId="{057C640C-1CCB-4367-97F5-9614E6D17CEB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10800000" custLinFactNeighborX="31312"/>
      <dgm:spPr>
        <a:xfrm rot="10800000">
          <a:off x="65400" y="0"/>
          <a:ext cx="425569" cy="319177"/>
        </a:xfrm>
        <a:prstGeom prst="upArrow">
          <a:avLst/>
        </a:prstGeom>
        <a:noFill/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45967" custLinFactNeighborX="-1038" custLinFactNeighborY="21329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2E4B9A8F-66C5-4D3F-AA42-6474B9274E0F}" type="presOf" srcId="{BDBE9051-05F0-4258-887D-2AFE86A1CC80}" destId="{5238613C-871D-431E-9CD0-D8797FFEF976}" srcOrd="0" destOrd="0" presId="urn:microsoft.com/office/officeart/2005/8/layout/arrow4"/>
    <dgm:cxn modelId="{CE860CA1-3E49-4414-9C95-3B76024F3399}" type="presOf" srcId="{47F7C53E-49CE-454C-B66B-F2DCD8B55C6E}" destId="{7C264C29-F1EC-485D-B42C-1D49763E8399}" srcOrd="0" destOrd="0" presId="urn:microsoft.com/office/officeart/2005/8/layout/arrow4"/>
    <dgm:cxn modelId="{5267EDF0-8FFD-451E-9878-34DB04CCA366}" type="presParOf" srcId="{7C264C29-F1EC-485D-B42C-1D49763E8399}" destId="{E6BD97CD-2BA5-4707-9356-5DF419942C1E}" srcOrd="0" destOrd="0" presId="urn:microsoft.com/office/officeart/2005/8/layout/arrow4"/>
    <dgm:cxn modelId="{AC79A107-4B4E-4599-B377-8216AF7F976A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68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 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10800000" custLinFactNeighborX="31312"/>
      <dgm:spPr>
        <a:xfrm rot="10800000">
          <a:off x="65400" y="0"/>
          <a:ext cx="425569" cy="319177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45967" custLinFactNeighborX="-1038" custLinFactNeighborY="21329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1562CE95-32E4-4280-A418-117B00FC5BBA}" type="presOf" srcId="{47F7C53E-49CE-454C-B66B-F2DCD8B55C6E}" destId="{7C264C29-F1EC-485D-B42C-1D49763E8399}" srcOrd="0" destOrd="0" presId="urn:microsoft.com/office/officeart/2005/8/layout/arrow4"/>
    <dgm:cxn modelId="{08DD06F0-1477-4684-BF31-A3AAC189EC4F}" type="presOf" srcId="{BDBE9051-05F0-4258-887D-2AFE86A1CC80}" destId="{5238613C-871D-431E-9CD0-D8797FFEF976}" srcOrd="0" destOrd="0" presId="urn:microsoft.com/office/officeart/2005/8/layout/arrow4"/>
    <dgm:cxn modelId="{7324BDEC-CE36-4E74-9438-C5DF928E22EB}" type="presParOf" srcId="{7C264C29-F1EC-485D-B42C-1D49763E8399}" destId="{E6BD97CD-2BA5-4707-9356-5DF419942C1E}" srcOrd="0" destOrd="0" presId="urn:microsoft.com/office/officeart/2005/8/layout/arrow4"/>
    <dgm:cxn modelId="{63E000DC-76DB-4532-A248-B9D5A8E134EA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75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+100%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-25595"/>
      <dgm:spPr>
        <a:xfrm rot="10800000">
          <a:off x="65400" y="0"/>
          <a:ext cx="425569" cy="319177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40408" custLinFactY="91045" custLinFactNeighborX="-6679" custLinFactNeighborY="10000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F8B10C78-64A1-4AF3-8B53-84F6AFF912D2}" type="presOf" srcId="{47F7C53E-49CE-454C-B66B-F2DCD8B55C6E}" destId="{7C264C29-F1EC-485D-B42C-1D49763E8399}" srcOrd="0" destOrd="0" presId="urn:microsoft.com/office/officeart/2005/8/layout/arrow4"/>
    <dgm:cxn modelId="{95A3D114-5C73-4154-86AA-AC032C55B391}" type="presOf" srcId="{BDBE9051-05F0-4258-887D-2AFE86A1CC80}" destId="{5238613C-871D-431E-9CD0-D8797FFEF976}" srcOrd="0" destOrd="0" presId="urn:microsoft.com/office/officeart/2005/8/layout/arrow4"/>
    <dgm:cxn modelId="{DE1ECDF8-5F49-463D-A1BB-805A26260FE8}" type="presParOf" srcId="{7C264C29-F1EC-485D-B42C-1D49763E8399}" destId="{E6BD97CD-2BA5-4707-9356-5DF419942C1E}" srcOrd="0" destOrd="0" presId="urn:microsoft.com/office/officeart/2005/8/layout/arrow4"/>
    <dgm:cxn modelId="{DB749EBE-5C16-47A4-8450-2D2A893E8958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80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2_4" csCatId="accent2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>
          <a:outerShdw blurRad="50800" dist="50800" dir="5400000" algn="ctr" rotWithShape="0">
            <a:schemeClr val="bg1"/>
          </a:outerShdw>
        </a:effectLst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    0%  </a:t>
          </a:r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23713" custLinFactNeighborY="10870"/>
      <dgm:spPr>
        <a:xfrm>
          <a:off x="65400" y="0"/>
          <a:ext cx="425569" cy="319177"/>
        </a:xfrm>
        <a:solidFill>
          <a:schemeClr val="bg1"/>
        </a:solidFill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Ang="0" custScaleX="118113" custLinFactNeighborX="-10706" custLinFactNeighborY="58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ECA74F0D-B913-40DC-96C8-F7994E7C7835}" type="presOf" srcId="{BDBE9051-05F0-4258-887D-2AFE86A1CC80}" destId="{5238613C-871D-431E-9CD0-D8797FFEF976}" srcOrd="0" destOrd="0" presId="urn:microsoft.com/office/officeart/2005/8/layout/arrow4"/>
    <dgm:cxn modelId="{CCA239D1-D24C-47EC-B8B8-13D3771BE6BC}" type="presOf" srcId="{47F7C53E-49CE-454C-B66B-F2DCD8B55C6E}" destId="{7C264C29-F1EC-485D-B42C-1D49763E8399}" srcOrd="0" destOrd="0" presId="urn:microsoft.com/office/officeart/2005/8/layout/arrow4"/>
    <dgm:cxn modelId="{1CF659FB-B29C-41FA-8957-8EC675AFD856}" type="presParOf" srcId="{7C264C29-F1EC-485D-B42C-1D49763E8399}" destId="{E6BD97CD-2BA5-4707-9356-5DF419942C1E}" srcOrd="0" destOrd="0" presId="urn:microsoft.com/office/officeart/2005/8/layout/arrow4"/>
    <dgm:cxn modelId="{2E746A04-4B41-499D-A313-20DB99C838AE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85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colorful1#1" csCatId="colorful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547773" y="0"/>
          <a:ext cx="859881" cy="318770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55423"/>
      <dgm:spPr>
        <a:xfrm>
          <a:off x="118921" y="0"/>
          <a:ext cx="425026" cy="318770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LinFactNeighborX="13797" custLinFactNeighborY="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48AB6541-696B-4FF2-B4B1-BD9274298690}" type="presOf" srcId="{47F7C53E-49CE-454C-B66B-F2DCD8B55C6E}" destId="{7C264C29-F1EC-485D-B42C-1D49763E8399}" srcOrd="0" destOrd="0" presId="urn:microsoft.com/office/officeart/2005/8/layout/arrow4"/>
    <dgm:cxn modelId="{87116A7C-04FC-4097-BFF1-4CD6DE13BBCC}" type="presOf" srcId="{BDBE9051-05F0-4258-887D-2AFE86A1CC80}" destId="{5238613C-871D-431E-9CD0-D8797FFEF976}" srcOrd="0" destOrd="0" presId="urn:microsoft.com/office/officeart/2005/8/layout/arrow4"/>
    <dgm:cxn modelId="{569F850C-C0EA-4AB0-9710-E6026531D326}" type="presParOf" srcId="{7C264C29-F1EC-485D-B42C-1D49763E8399}" destId="{E6BD97CD-2BA5-4707-9356-5DF419942C1E}" srcOrd="0" destOrd="0" presId="urn:microsoft.com/office/officeart/2005/8/layout/arrow4"/>
    <dgm:cxn modelId="{6788787D-43FB-4F6E-AABA-5943F1B2DD95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19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-6133" custLinFactNeighborY="-13042"/>
      <dgm:spPr>
        <a:xfrm rot="10800000">
          <a:off x="65400" y="0"/>
          <a:ext cx="425569" cy="319177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21293" custLinFactY="91045" custLinFactNeighborX="-6679" custLinFactNeighborY="10000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4652A210-D162-42D6-9EB8-1C5EF5684E59}" type="presOf" srcId="{47F7C53E-49CE-454C-B66B-F2DCD8B55C6E}" destId="{7C264C29-F1EC-485D-B42C-1D49763E8399}" srcOrd="0" destOrd="0" presId="urn:microsoft.com/office/officeart/2005/8/layout/arrow4"/>
    <dgm:cxn modelId="{643499A1-7F72-45CB-A981-A45B8C8F97E2}" type="presOf" srcId="{BDBE9051-05F0-4258-887D-2AFE86A1CC80}" destId="{5238613C-871D-431E-9CD0-D8797FFEF976}" srcOrd="0" destOrd="0" presId="urn:microsoft.com/office/officeart/2005/8/layout/arrow4"/>
    <dgm:cxn modelId="{4099EE00-EED7-46D2-A8C6-FD38BF3CA766}" type="presParOf" srcId="{7C264C29-F1EC-485D-B42C-1D49763E8399}" destId="{E6BD97CD-2BA5-4707-9356-5DF419942C1E}" srcOrd="0" destOrd="0" presId="urn:microsoft.com/office/officeart/2005/8/layout/arrow4"/>
    <dgm:cxn modelId="{58642AB3-80A2-4A52-A664-AE328BC8B841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 +в 3,6 р.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Y="-19645" custLinFactNeighborX="10313" custLinFactNeighborY="-100000"/>
      <dgm:spPr>
        <a:xfrm rot="10800000">
          <a:off x="65400" y="0"/>
          <a:ext cx="425569" cy="319177"/>
        </a:xfrm>
        <a:prstGeom prst="upArrow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21794" custLinFactNeighborX="-1038" custLinFactNeighborY="21329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95F368B7-7A53-4BFC-ACA9-C1E0E112DE7D}" type="presOf" srcId="{BDBE9051-05F0-4258-887D-2AFE86A1CC80}" destId="{5238613C-871D-431E-9CD0-D8797FFEF976}" srcOrd="0" destOrd="0" presId="urn:microsoft.com/office/officeart/2005/8/layout/arrow4"/>
    <dgm:cxn modelId="{9CB5BAA4-E02E-41E2-81D7-D53FBCDFB26E}" type="presOf" srcId="{47F7C53E-49CE-454C-B66B-F2DCD8B55C6E}" destId="{7C264C29-F1EC-485D-B42C-1D49763E8399}" srcOrd="0" destOrd="0" presId="urn:microsoft.com/office/officeart/2005/8/layout/arrow4"/>
    <dgm:cxn modelId="{E03A0426-2CD5-4461-9B27-FFDA6A2F3F96}" type="presParOf" srcId="{7C264C29-F1EC-485D-B42C-1D49763E8399}" destId="{E6BD97CD-2BA5-4707-9356-5DF419942C1E}" srcOrd="0" destOrd="0" presId="urn:microsoft.com/office/officeart/2005/8/layout/arrow4"/>
    <dgm:cxn modelId="{1CC99497-4E78-4756-821C-0271A970D00B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-в 2р.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-25595"/>
      <dgm:spPr>
        <a:xfrm rot="10800000">
          <a:off x="65400" y="0"/>
          <a:ext cx="425569" cy="319177"/>
        </a:xfrm>
        <a:prstGeom prst="upArrow">
          <a:avLst/>
        </a:prstGeom>
        <a:noFill/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ScaleX="122781" custLinFactY="91045" custLinFactNeighborX="-6679" custLinFactNeighborY="10000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EE76EDF1-B22A-40BA-8033-894B1A4BAFBC}" type="presOf" srcId="{BDBE9051-05F0-4258-887D-2AFE86A1CC80}" destId="{5238613C-871D-431E-9CD0-D8797FFEF976}" srcOrd="0" destOrd="0" presId="urn:microsoft.com/office/officeart/2005/8/layout/arrow4"/>
    <dgm:cxn modelId="{4B9124BC-4EAB-492F-B29F-3939E9B5ABBB}" type="presOf" srcId="{47F7C53E-49CE-454C-B66B-F2DCD8B55C6E}" destId="{7C264C29-F1EC-485D-B42C-1D49763E8399}" srcOrd="0" destOrd="0" presId="urn:microsoft.com/office/officeart/2005/8/layout/arrow4"/>
    <dgm:cxn modelId="{B6D6111E-749C-4CE3-88BE-7318028B730E}" type="presParOf" srcId="{7C264C29-F1EC-485D-B42C-1D49763E8399}" destId="{E6BD97CD-2BA5-4707-9356-5DF419942C1E}" srcOrd="0" destOrd="0" presId="urn:microsoft.com/office/officeart/2005/8/layout/arrow4"/>
    <dgm:cxn modelId="{9CD17104-7184-459F-AE2C-69BD253863D7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colorful1#1" csCatId="colorful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547773" y="0"/>
          <a:ext cx="859881" cy="318770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0" custLinFactNeighborX="61975"/>
      <dgm:spPr>
        <a:xfrm>
          <a:off x="118921" y="0"/>
          <a:ext cx="425026" cy="318770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LinFactNeighborX="13797" custLinFactNeighborY="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A7BC3135-6F45-40F4-9831-5BED278A0427}" type="presOf" srcId="{BDBE9051-05F0-4258-887D-2AFE86A1CC80}" destId="{5238613C-871D-431E-9CD0-D8797FFEF976}" srcOrd="0" destOrd="0" presId="urn:microsoft.com/office/officeart/2005/8/layout/arrow4"/>
    <dgm:cxn modelId="{B9FEF525-8ABF-47E2-B518-78B7B187EC4E}" type="presOf" srcId="{47F7C53E-49CE-454C-B66B-F2DCD8B55C6E}" destId="{7C264C29-F1EC-485D-B42C-1D49763E8399}" srcOrd="0" destOrd="0" presId="urn:microsoft.com/office/officeart/2005/8/layout/arrow4"/>
    <dgm:cxn modelId="{5F997171-31A9-45B3-8543-4159A6284ED5}" type="presParOf" srcId="{7C264C29-F1EC-485D-B42C-1D49763E8399}" destId="{E6BD97CD-2BA5-4707-9356-5DF419942C1E}" srcOrd="0" destOrd="0" presId="urn:microsoft.com/office/officeart/2005/8/layout/arrow4"/>
    <dgm:cxn modelId="{6261B240-E6BF-4F7D-8AA7-BC5EFDBF38B3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2_4" csCatId="accent2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>
          <a:outerShdw blurRad="50800" dist="50800" dir="5400000" algn="ctr" rotWithShape="0">
            <a:schemeClr val="bg1"/>
          </a:outerShdw>
        </a:effectLst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0%  </a:t>
          </a:r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10800000" custLinFactY="-95782" custLinFactNeighborX="4135" custLinFactNeighborY="-100000"/>
      <dgm:spPr>
        <a:xfrm>
          <a:off x="65400" y="0"/>
          <a:ext cx="425569" cy="319177"/>
        </a:xfrm>
        <a:solidFill>
          <a:schemeClr val="bg1"/>
        </a:solidFill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Ang="0" custScaleX="118113" custLinFactNeighborX="-10706" custLinFactNeighborY="58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B18CA1D7-1C27-4C49-B75B-00B409F9BDF8}" type="presOf" srcId="{47F7C53E-49CE-454C-B66B-F2DCD8B55C6E}" destId="{7C264C29-F1EC-485D-B42C-1D49763E8399}" srcOrd="0" destOrd="0" presId="urn:microsoft.com/office/officeart/2005/8/layout/arrow4"/>
    <dgm:cxn modelId="{2BBE303B-9355-4E39-B014-23AC5655BB27}" type="presOf" srcId="{BDBE9051-05F0-4258-887D-2AFE86A1CC80}" destId="{5238613C-871D-431E-9CD0-D8797FFEF976}" srcOrd="0" destOrd="0" presId="urn:microsoft.com/office/officeart/2005/8/layout/arrow4"/>
    <dgm:cxn modelId="{9EA6B4F6-2E06-4FF2-BD28-A567145BAAC4}" type="presParOf" srcId="{7C264C29-F1EC-485D-B42C-1D49763E8399}" destId="{E6BD97CD-2BA5-4707-9356-5DF419942C1E}" srcOrd="0" destOrd="0" presId="urn:microsoft.com/office/officeart/2005/8/layout/arrow4"/>
    <dgm:cxn modelId="{B67E9CBA-2C26-4FF2-8019-1BBDB6968308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47F7C53E-49CE-454C-B66B-F2DCD8B55C6E}" type="doc">
      <dgm:prSet loTypeId="urn:microsoft.com/office/officeart/2005/8/layout/arrow4" loCatId="process" qsTypeId="urn:microsoft.com/office/officeart/2005/8/quickstyle/simple1" qsCatId="simple" csTypeId="urn:microsoft.com/office/officeart/2005/8/colors/accent6_2" csCatId="accent6" phldr="1"/>
      <dgm:spPr/>
      <dgm:t>
        <a:bodyPr/>
        <a:p>
          <a:endParaRPr lang="ru-RU"/>
        </a:p>
      </dgm:t>
    </dgm:pt>
    <dgm:pt modelId="{BDBE9051-05F0-4258-887D-2AFE86A1CC80}">
      <dgm:prSet phldrT="[Текст]" custT="1"/>
      <dgm:spPr>
        <a:xfrm>
          <a:off x="496218" y="0"/>
          <a:ext cx="724357" cy="319177"/>
        </a:xfrm>
        <a:noFill/>
        <a:ln>
          <a:noFill/>
        </a:ln>
        <a:effectLst/>
      </dgm:spPr>
      <dgm:t>
        <a:bodyPr/>
        <a:p>
          <a:pPr algn="ctr"/>
          <a:r>
            <a:rPr lang="ru-RU" sz="13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0%</a:t>
          </a:r>
        </a:p>
      </dgm:t>
    </dgm:pt>
    <dgm:pt modelId="{EAB789A1-ACAD-46CC-A714-0EF6D7AD04B0}" cxnId="{FFFDD512-B149-4B20-80D5-9D409CCF548E}" type="parTrans">
      <dgm:prSet/>
      <dgm:spPr/>
      <dgm:t>
        <a:bodyPr/>
        <a:p>
          <a:endParaRPr lang="ru-RU"/>
        </a:p>
      </dgm:t>
    </dgm:pt>
    <dgm:pt modelId="{12E28A35-B72A-4454-88EC-8FE11544AC94}" cxnId="{FFFDD512-B149-4B20-80D5-9D409CCF548E}" type="sibTrans">
      <dgm:prSet/>
      <dgm:spPr/>
      <dgm:t>
        <a:bodyPr/>
        <a:p>
          <a:endParaRPr lang="ru-RU"/>
        </a:p>
      </dgm:t>
    </dgm:pt>
    <dgm:pt modelId="{7C264C29-F1EC-485D-B42C-1D49763E8399}" type="pres">
      <dgm:prSet presAssocID="{47F7C53E-49CE-454C-B66B-F2DCD8B55C6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p>
          <a:endParaRPr lang="ru-RU"/>
        </a:p>
      </dgm:t>
    </dgm:pt>
    <dgm:pt modelId="{E6BD97CD-2BA5-4707-9356-5DF419942C1E}" type="pres">
      <dgm:prSet presAssocID="{BDBE9051-05F0-4258-887D-2AFE86A1CC80}" presName="upArrow" presStyleLbl="node1" presStyleIdx="0" presStyleCnt="1" custAng="10800000" custLinFactNeighborX="31312"/>
      <dgm:spPr>
        <a:xfrm rot="10800000">
          <a:off x="65400" y="0"/>
          <a:ext cx="425569" cy="319177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endParaRPr lang="ru-RU"/>
        </a:p>
      </dgm:t>
    </dgm:pt>
    <dgm:pt modelId="{5238613C-871D-431E-9CD0-D8797FFEF976}" type="pres">
      <dgm:prSet presAssocID="{BDBE9051-05F0-4258-887D-2AFE86A1CC80}" presName="upArrowText" presStyleLbl="revTx" presStyleIdx="0" presStyleCnt="1" custLinFactNeighborX="-1038" custLinFactNeighborY="21329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p>
          <a:endParaRPr lang="ru-RU"/>
        </a:p>
      </dgm:t>
    </dgm:pt>
  </dgm:ptLst>
  <dgm:cxnLst>
    <dgm:cxn modelId="{FFFDD512-B149-4B20-80D5-9D409CCF548E}" srcId="{47F7C53E-49CE-454C-B66B-F2DCD8B55C6E}" destId="{BDBE9051-05F0-4258-887D-2AFE86A1CC80}" srcOrd="0" destOrd="0" parTransId="{EAB789A1-ACAD-46CC-A714-0EF6D7AD04B0}" sibTransId="{12E28A35-B72A-4454-88EC-8FE11544AC94}"/>
    <dgm:cxn modelId="{6A9C3119-A9DC-41BA-B3E9-3C98A342D8EA}" type="presOf" srcId="{47F7C53E-49CE-454C-B66B-F2DCD8B55C6E}" destId="{7C264C29-F1EC-485D-B42C-1D49763E8399}" srcOrd="0" destOrd="0" presId="urn:microsoft.com/office/officeart/2005/8/layout/arrow4"/>
    <dgm:cxn modelId="{8840EAAA-C43F-4F5D-B971-283F304CC345}" type="presOf" srcId="{BDBE9051-05F0-4258-887D-2AFE86A1CC80}" destId="{5238613C-871D-431E-9CD0-D8797FFEF976}" srcOrd="0" destOrd="0" presId="urn:microsoft.com/office/officeart/2005/8/layout/arrow4"/>
    <dgm:cxn modelId="{5B81E970-8AD4-456F-86B3-62E35437D979}" type="presParOf" srcId="{7C264C29-F1EC-485D-B42C-1D49763E8399}" destId="{E6BD97CD-2BA5-4707-9356-5DF419942C1E}" srcOrd="0" destOrd="0" presId="urn:microsoft.com/office/officeart/2005/8/layout/arrow4"/>
    <dgm:cxn modelId="{A1FB8422-E37F-4CD9-866B-7814681E23F2}" type="presParOf" srcId="{7C264C29-F1EC-485D-B42C-1D49763E8399}" destId="{5238613C-871D-431E-9CD0-D8797FFEF976}" srcOrd="1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0" y="0"/>
          <a:ext cx="285586" cy="288470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253222" y="0"/>
          <a:ext cx="590252" cy="2884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+100%</a:t>
          </a:r>
        </a:p>
      </dsp:txBody>
      <dsp:txXfrm>
        <a:off x="253222" y="0"/>
        <a:ext cx="590252" cy="288470"/>
      </dsp:txXfrm>
    </dsp:sp>
  </dsp:spTree>
</dsp:drawing>
</file>

<file path=word/diagrams/drawing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 rot="10800000">
          <a:off x="332081" y="0"/>
          <a:ext cx="418531" cy="313899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576481" y="0"/>
          <a:ext cx="733703" cy="3138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0%</a:t>
          </a:r>
        </a:p>
      </dsp:txBody>
      <dsp:txXfrm>
        <a:off x="576481" y="0"/>
        <a:ext cx="733703" cy="313899"/>
      </dsp:txXfrm>
    </dsp:sp>
  </dsp:spTree>
</dsp:drawing>
</file>

<file path=word/diagrams/drawing1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127798" y="0"/>
          <a:ext cx="409670" cy="313690"/>
        </a:xfrm>
        <a:prstGeom prst="upArrow">
          <a:avLst/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315224" y="0"/>
          <a:ext cx="821119" cy="313690"/>
        </a:xfrm>
        <a:prstGeom prst="rect">
          <a:avLst/>
        </a:prstGeom>
        <a:noFill/>
        <a:ln>
          <a:noFill/>
        </a:ln>
        <a:effectLst>
          <a:outerShdw blurRad="50800" dist="50800" dir="5400000" algn="ctr" rotWithShape="0">
            <a:schemeClr val="bg1"/>
          </a:outerShdw>
        </a:effectLst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0%  </a:t>
          </a:r>
        </a:p>
      </dsp:txBody>
      <dsp:txXfrm>
        <a:off x="315224" y="0"/>
        <a:ext cx="821119" cy="313690"/>
      </dsp:txXfrm>
    </dsp:sp>
  </dsp:spTree>
</dsp:drawing>
</file>

<file path=word/diagrams/drawing1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0" y="0"/>
          <a:ext cx="418253" cy="313690"/>
        </a:xfrm>
        <a:prstGeom prst="upArrow">
          <a:avLst/>
        </a:prstGeom>
        <a:noFill/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328048" y="0"/>
          <a:ext cx="891119" cy="3136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+в 2 р.</a:t>
          </a:r>
        </a:p>
      </dsp:txBody>
      <dsp:txXfrm>
        <a:off x="328048" y="0"/>
        <a:ext cx="891119" cy="313690"/>
      </dsp:txXfrm>
    </dsp:sp>
  </dsp:spTree>
</dsp:drawing>
</file>

<file path=word/diagrams/drawing1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 rot="10800000">
          <a:off x="325299" y="0"/>
          <a:ext cx="408939" cy="306704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502887" y="0"/>
          <a:ext cx="764184" cy="3067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0%</a:t>
          </a:r>
        </a:p>
      </dsp:txBody>
      <dsp:txXfrm>
        <a:off x="502887" y="0"/>
        <a:ext cx="764184" cy="306704"/>
      </dsp:txXfrm>
    </dsp:sp>
  </dsp:spTree>
</dsp:drawing>
</file>

<file path=word/diagrams/drawing1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-2843" y="0"/>
          <a:ext cx="417406" cy="313054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231687" y="0"/>
          <a:ext cx="1020550" cy="3130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+100%</a:t>
          </a:r>
        </a:p>
      </dsp:txBody>
      <dsp:txXfrm>
        <a:off x="231687" y="0"/>
        <a:ext cx="1020550" cy="313054"/>
      </dsp:txXfrm>
    </dsp:sp>
  </dsp:spTree>
</dsp:drawing>
</file>

<file path=word/diagrams/drawing1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-4587" y="0"/>
          <a:ext cx="420793" cy="315595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281977" y="0"/>
          <a:ext cx="1020550" cy="3155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+в 9 р.</a:t>
          </a:r>
        </a:p>
      </dsp:txBody>
      <dsp:txXfrm>
        <a:off x="281977" y="0"/>
        <a:ext cx="1020550" cy="315595"/>
      </dsp:txXfrm>
    </dsp:sp>
  </dsp:spTree>
</dsp:drawing>
</file>

<file path=word/diagrams/drawing1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-3279" y="0"/>
          <a:ext cx="418253" cy="313690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232123" y="0"/>
          <a:ext cx="1020550" cy="3136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+100%</a:t>
          </a:r>
        </a:p>
      </dsp:txBody>
      <dsp:txXfrm>
        <a:off x="232123" y="0"/>
        <a:ext cx="1020550" cy="313690"/>
      </dsp:txXfrm>
    </dsp:sp>
  </dsp:spTree>
</dsp:drawing>
</file>

<file path=word/diagrams/drawing1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 rot="10800000">
          <a:off x="99608" y="0"/>
          <a:ext cx="369227" cy="306704"/>
        </a:xfrm>
        <a:prstGeom prst="upArrow">
          <a:avLst/>
        </a:prstGeom>
        <a:noFill/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213788" y="0"/>
          <a:ext cx="914581" cy="3067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0%</a:t>
          </a:r>
        </a:p>
      </dsp:txBody>
      <dsp:txXfrm>
        <a:off x="213788" y="0"/>
        <a:ext cx="914581" cy="306704"/>
      </dsp:txXfrm>
    </dsp:sp>
  </dsp:spTree>
</dsp:drawing>
</file>

<file path=word/diagrams/drawing1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0" y="0"/>
          <a:ext cx="420793" cy="315595"/>
        </a:xfrm>
        <a:prstGeom prst="upArrow">
          <a:avLst/>
        </a:prstGeom>
        <a:noFill/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329522" y="0"/>
          <a:ext cx="892429" cy="3155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+100 %</a:t>
          </a:r>
        </a:p>
      </dsp:txBody>
      <dsp:txXfrm>
        <a:off x="329522" y="0"/>
        <a:ext cx="892429" cy="315595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0" y="0"/>
          <a:ext cx="418253" cy="313690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390250" y="0"/>
          <a:ext cx="972308" cy="3136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+100%</a:t>
          </a:r>
        </a:p>
      </dsp:txBody>
      <dsp:txXfrm>
        <a:off x="390250" y="0"/>
        <a:ext cx="972308" cy="313690"/>
      </dsp:txXfrm>
    </dsp:sp>
  </dsp:spTree>
</dsp:drawing>
</file>

<file path=word/diagrams/drawing2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0" y="0"/>
          <a:ext cx="418253" cy="313690"/>
        </a:xfrm>
        <a:prstGeom prst="upArrow">
          <a:avLst/>
        </a:prstGeom>
        <a:noFill/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328048" y="0"/>
          <a:ext cx="891119" cy="3136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+100 %</a:t>
          </a:r>
        </a:p>
      </dsp:txBody>
      <dsp:txXfrm>
        <a:off x="328048" y="0"/>
        <a:ext cx="891119" cy="313690"/>
      </dsp:txXfrm>
    </dsp:sp>
  </dsp:spTree>
</dsp:drawing>
</file>

<file path=word/diagrams/drawing2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127798" y="0"/>
          <a:ext cx="409670" cy="313690"/>
        </a:xfrm>
        <a:prstGeom prst="upArrow">
          <a:avLst/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315224" y="0"/>
          <a:ext cx="821119" cy="313690"/>
        </a:xfrm>
        <a:prstGeom prst="rect">
          <a:avLst/>
        </a:prstGeom>
        <a:noFill/>
        <a:ln>
          <a:noFill/>
        </a:ln>
        <a:effectLst>
          <a:outerShdw blurRad="50800" dist="50800" dir="5400000" algn="ctr" rotWithShape="0">
            <a:schemeClr val="bg1"/>
          </a:outerShdw>
        </a:effectLst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0%  </a:t>
          </a:r>
        </a:p>
      </dsp:txBody>
      <dsp:txXfrm>
        <a:off x="315224" y="0"/>
        <a:ext cx="821119" cy="313690"/>
      </dsp:txXfrm>
    </dsp:sp>
  </dsp:spTree>
</dsp:drawing>
</file>

<file path=word/diagrams/drawing2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 rot="10800000">
          <a:off x="324807" y="0"/>
          <a:ext cx="400334" cy="300251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498490" y="0"/>
          <a:ext cx="764275" cy="3002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0%</a:t>
          </a:r>
        </a:p>
      </dsp:txBody>
      <dsp:txXfrm>
        <a:off x="498490" y="0"/>
        <a:ext cx="764275" cy="300251"/>
      </dsp:txXfrm>
    </dsp:sp>
  </dsp:spTree>
</dsp:drawing>
</file>

<file path=word/diagrams/drawing2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 rot="10800000">
          <a:off x="332081" y="0"/>
          <a:ext cx="418531" cy="313899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576481" y="0"/>
          <a:ext cx="733703" cy="3138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0%</a:t>
          </a:r>
        </a:p>
      </dsp:txBody>
      <dsp:txXfrm>
        <a:off x="576481" y="0"/>
        <a:ext cx="733703" cy="313899"/>
      </dsp:txXfrm>
    </dsp:sp>
  </dsp:spTree>
</dsp:drawing>
</file>

<file path=word/diagrams/drawing2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127798" y="0"/>
          <a:ext cx="409670" cy="313690"/>
        </a:xfrm>
        <a:prstGeom prst="upArrow">
          <a:avLst/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315224" y="0"/>
          <a:ext cx="821119" cy="313690"/>
        </a:xfrm>
        <a:prstGeom prst="rect">
          <a:avLst/>
        </a:prstGeom>
        <a:noFill/>
        <a:ln>
          <a:noFill/>
        </a:ln>
        <a:effectLst>
          <a:outerShdw blurRad="50800" dist="50800" dir="5400000" algn="ctr" rotWithShape="0">
            <a:schemeClr val="bg1"/>
          </a:outerShdw>
        </a:effectLst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0%  </a:t>
          </a:r>
        </a:p>
      </dsp:txBody>
      <dsp:txXfrm>
        <a:off x="315224" y="0"/>
        <a:ext cx="821119" cy="313690"/>
      </dsp:txXfrm>
    </dsp:sp>
  </dsp:spTree>
</dsp:drawing>
</file>

<file path=word/diagrams/drawing2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0" y="0"/>
          <a:ext cx="418253" cy="313690"/>
        </a:xfrm>
        <a:prstGeom prst="upArrow">
          <a:avLst/>
        </a:prstGeom>
        <a:noFill/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328048" y="0"/>
          <a:ext cx="891119" cy="3136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+в 2 р.</a:t>
          </a:r>
        </a:p>
      </dsp:txBody>
      <dsp:txXfrm>
        <a:off x="328048" y="0"/>
        <a:ext cx="891119" cy="313690"/>
      </dsp:txXfrm>
    </dsp:sp>
  </dsp:spTree>
</dsp:drawing>
</file>

<file path=word/diagrams/drawing2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 rot="10800000">
          <a:off x="325299" y="0"/>
          <a:ext cx="408939" cy="306704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502887" y="0"/>
          <a:ext cx="764184" cy="3067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0%</a:t>
          </a:r>
        </a:p>
      </dsp:txBody>
      <dsp:txXfrm>
        <a:off x="502887" y="0"/>
        <a:ext cx="764184" cy="306704"/>
      </dsp:txXfrm>
    </dsp:sp>
  </dsp:spTree>
</dsp:drawing>
</file>

<file path=word/diagrams/drawing2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-3279" y="0"/>
          <a:ext cx="418253" cy="313690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232123" y="0"/>
          <a:ext cx="1020550" cy="3136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+100%</a:t>
          </a:r>
        </a:p>
      </dsp:txBody>
      <dsp:txXfrm>
        <a:off x="232123" y="0"/>
        <a:ext cx="1020550" cy="313690"/>
      </dsp:txXfrm>
    </dsp:sp>
  </dsp:spTree>
</dsp:drawing>
</file>

<file path=word/diagrams/drawing2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-3420" y="0"/>
          <a:ext cx="418531" cy="313899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232266" y="0"/>
          <a:ext cx="1020565" cy="3138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+100%</a:t>
          </a:r>
        </a:p>
      </dsp:txBody>
      <dsp:txXfrm>
        <a:off x="232266" y="0"/>
        <a:ext cx="1020565" cy="313899"/>
      </dsp:txXfrm>
    </dsp:sp>
  </dsp:spTree>
</dsp:drawing>
</file>

<file path=word/diagrams/drawing2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-3591" y="0"/>
          <a:ext cx="418253" cy="313690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232098" y="0"/>
          <a:ext cx="1019052" cy="3136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+100%</a:t>
          </a:r>
        </a:p>
      </dsp:txBody>
      <dsp:txXfrm>
        <a:off x="232098" y="0"/>
        <a:ext cx="1019052" cy="313690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 rot="10800000">
          <a:off x="83632" y="0"/>
          <a:ext cx="361473" cy="319405"/>
        </a:xfrm>
        <a:prstGeom prst="upArrow">
          <a:avLst/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65669" y="0"/>
          <a:ext cx="1095372" cy="3194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</a:t>
          </a:r>
        </a:p>
      </dsp:txBody>
      <dsp:txXfrm>
        <a:off x="65669" y="0"/>
        <a:ext cx="1095372" cy="319405"/>
      </dsp:txXfrm>
    </dsp:sp>
  </dsp:spTree>
</dsp:drawing>
</file>

<file path=word/diagrams/drawing3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 rot="10800000">
          <a:off x="99608" y="0"/>
          <a:ext cx="369227" cy="306704"/>
        </a:xfrm>
        <a:prstGeom prst="upArrow">
          <a:avLst/>
        </a:prstGeom>
        <a:noFill/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213788" y="0"/>
          <a:ext cx="914581" cy="3067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0%</a:t>
          </a:r>
        </a:p>
      </dsp:txBody>
      <dsp:txXfrm>
        <a:off x="213788" y="0"/>
        <a:ext cx="914581" cy="306704"/>
      </dsp:txXfrm>
    </dsp:sp>
  </dsp:spTree>
</dsp:drawing>
</file>

<file path=word/diagrams/drawing3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 rot="10800000">
          <a:off x="99630" y="0"/>
          <a:ext cx="369308" cy="293427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213836" y="0"/>
          <a:ext cx="914783" cy="2934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0%</a:t>
          </a:r>
        </a:p>
      </dsp:txBody>
      <dsp:txXfrm>
        <a:off x="213836" y="0"/>
        <a:ext cx="914783" cy="293427"/>
      </dsp:txXfrm>
    </dsp:sp>
  </dsp:spTree>
</dsp:drawing>
</file>

<file path=word/diagrams/drawing3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-3591" y="0"/>
          <a:ext cx="418253" cy="313690"/>
        </a:xfrm>
        <a:prstGeom prst="upArrow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232098" y="0"/>
          <a:ext cx="1019052" cy="3136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+100%</a:t>
          </a:r>
        </a:p>
      </dsp:txBody>
      <dsp:txXfrm>
        <a:off x="232098" y="0"/>
        <a:ext cx="1019052" cy="313690"/>
      </dsp:txXfrm>
    </dsp:sp>
  </dsp:spTree>
</dsp:drawing>
</file>

<file path=word/diagrams/drawing3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129955" y="0"/>
          <a:ext cx="416585" cy="313690"/>
        </a:xfrm>
        <a:prstGeom prst="upArrow">
          <a:avLst/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320545" y="0"/>
          <a:ext cx="834979" cy="313690"/>
        </a:xfrm>
        <a:prstGeom prst="rect">
          <a:avLst/>
        </a:prstGeom>
        <a:noFill/>
        <a:ln>
          <a:noFill/>
        </a:ln>
        <a:effectLst>
          <a:outerShdw blurRad="50800" dist="50800" dir="5400000" algn="ctr" rotWithShape="0">
            <a:schemeClr val="bg1"/>
          </a:outerShdw>
        </a:effectLst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 0%  </a:t>
          </a:r>
        </a:p>
      </dsp:txBody>
      <dsp:txXfrm>
        <a:off x="320545" y="0"/>
        <a:ext cx="834979" cy="313690"/>
      </dsp:txXfrm>
    </dsp:sp>
  </dsp:spTree>
</dsp:drawing>
</file>

<file path=word/diagrams/drawing3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182803" y="0"/>
          <a:ext cx="258966" cy="300251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345288" y="0"/>
          <a:ext cx="439458" cy="3002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0%</a:t>
          </a:r>
        </a:p>
      </dsp:txBody>
      <dsp:txXfrm>
        <a:off x="345288" y="0"/>
        <a:ext cx="439458" cy="300251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0" y="0"/>
          <a:ext cx="384943" cy="313690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306919" y="0"/>
          <a:ext cx="792337" cy="3136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0%</a:t>
          </a:r>
        </a:p>
      </dsp:txBody>
      <dsp:txXfrm>
        <a:off x="306919" y="0"/>
        <a:ext cx="792337" cy="313690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97863" y="0"/>
          <a:ext cx="418253" cy="313690"/>
        </a:xfrm>
        <a:prstGeom prst="upArrow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390250" y="0"/>
          <a:ext cx="972308" cy="3136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+в 3,6 р.</a:t>
          </a:r>
        </a:p>
      </dsp:txBody>
      <dsp:txXfrm>
        <a:off x="390250" y="0"/>
        <a:ext cx="972308" cy="313690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0" y="0"/>
          <a:ext cx="418253" cy="313690"/>
        </a:xfrm>
        <a:prstGeom prst="upArrow">
          <a:avLst/>
        </a:prstGeom>
        <a:noFill/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328048" y="0"/>
          <a:ext cx="891119" cy="3136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-в 2р.</a:t>
          </a:r>
        </a:p>
      </dsp:txBody>
      <dsp:txXfrm>
        <a:off x="328048" y="0"/>
        <a:ext cx="891119" cy="313690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>
          <a:off x="381289" y="0"/>
          <a:ext cx="416559" cy="312419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670766" y="0"/>
          <a:ext cx="859485" cy="3124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0%</a:t>
          </a:r>
        </a:p>
      </dsp:txBody>
      <dsp:txXfrm>
        <a:off x="670766" y="0"/>
        <a:ext cx="859485" cy="312419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 rot="10800000">
          <a:off x="108663" y="0"/>
          <a:ext cx="418253" cy="313690"/>
        </a:xfrm>
        <a:prstGeom prst="upArrow">
          <a:avLst/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347745" y="0"/>
          <a:ext cx="1042464" cy="313690"/>
        </a:xfrm>
        <a:prstGeom prst="rect">
          <a:avLst/>
        </a:prstGeom>
        <a:noFill/>
        <a:ln>
          <a:noFill/>
        </a:ln>
        <a:effectLst>
          <a:outerShdw blurRad="50800" dist="50800" dir="5400000" algn="ctr" rotWithShape="0">
            <a:schemeClr val="bg1"/>
          </a:outerShdw>
        </a:effectLst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0%  </a:t>
          </a:r>
        </a:p>
      </dsp:txBody>
      <dsp:txXfrm>
        <a:off x="347745" y="0"/>
        <a:ext cx="1042464" cy="313690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D97CD-2BA5-4707-9356-5DF419942C1E}">
      <dsp:nvSpPr>
        <dsp:cNvPr id="0" name=""/>
        <dsp:cNvSpPr/>
      </dsp:nvSpPr>
      <dsp:spPr>
        <a:xfrm rot="10800000">
          <a:off x="217658" y="0"/>
          <a:ext cx="408939" cy="306704"/>
        </a:xfrm>
        <a:prstGeom prst="upArrow">
          <a:avLst/>
        </a:prstGeom>
        <a:solidFill>
          <a:schemeClr val="bg1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8613C-871D-431E-9CD0-D8797FFEF976}">
      <dsp:nvSpPr>
        <dsp:cNvPr id="0" name=""/>
        <dsp:cNvSpPr/>
      </dsp:nvSpPr>
      <dsp:spPr>
        <a:xfrm>
          <a:off x="502887" y="0"/>
          <a:ext cx="764184" cy="3067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0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0%</a:t>
          </a:r>
        </a:p>
      </dsp:txBody>
      <dsp:txXfrm>
        <a:off x="502887" y="0"/>
        <a:ext cx="764184" cy="3067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0.77062</cdr:x>
      <cdr:y>0.31795</cdr:y>
    </cdr:from>
    <cdr:to>
      <cdr:x>0.96614</cdr:x>
      <cdr:y>0.5669</cdr:y>
    </cdr:to>
    <cdr:sp>
      <cdr:nvSpPr>
        <cdr:cNvPr id="2" name="Выноска 1 (с границей и чертой) 1"/>
        <cdr:cNvSpPr/>
      </cdr:nvSpPr>
      <cdr:spPr xmlns:a="http://schemas.openxmlformats.org/drawingml/2006/main">
        <a:xfrm xmlns:a="http://schemas.openxmlformats.org/drawingml/2006/main">
          <a:off x="4285686" y="876440"/>
          <a:ext cx="1087351" cy="686240"/>
        </a:xfrm>
        <a:prstGeom xmlns:a="http://schemas.openxmlformats.org/drawingml/2006/main" prst="accentBorderCallout1">
          <a:avLst>
            <a:gd name="adj1" fmla="val 18750"/>
            <a:gd name="adj2" fmla="val -8333"/>
            <a:gd name="adj3" fmla="val 71359"/>
            <a:gd name="adj4" fmla="val -56192"/>
          </a:avLst>
        </a:prstGeom>
        <a:solidFill>
          <a:srgbClr val="FFFF00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 xmlns:a="http://schemas.openxmlformats.org/drawingml/2006/main">
        <a:bodyPr vert="horz" wrap="square" lIns="45720" tIns="45720" rIns="45720" bIns="45720" anchor="t" anchorCtr="0">
          <a:noAutofit/>
        </a:bodyPr>
        <a:lstStyle/>
        <a:p>
          <a:pPr algn="ctr"/>
          <a:r>
            <a:rPr lang="ru-RU" sz="800">
              <a:solidFill>
                <a:schemeClr val="tx1"/>
              </a:solidFill>
              <a:latin typeface="Times New Roman" panose="02020603050405020304" charset="0"/>
              <a:cs typeface="Times New Roman" panose="02020603050405020304" charset="0"/>
            </a:rPr>
            <a:t>с низкой степенью огнестойкости - 8; 100% об</a:t>
          </a:r>
          <a:r>
            <a:rPr lang="ru-RU" sz="800" baseline="0">
              <a:solidFill>
                <a:schemeClr val="tx1"/>
              </a:solidFill>
              <a:latin typeface="Times New Roman" panose="02020603050405020304" charset="0"/>
              <a:cs typeface="Times New Roman" panose="02020603050405020304" charset="0"/>
            </a:rPr>
            <a:t> общего количества пожаров в жилье</a:t>
          </a:r>
          <a:endParaRPr lang="ru-RU" sz="800">
            <a:solidFill>
              <a:schemeClr val="tx1"/>
            </a:solidFill>
            <a:latin typeface="Times New Roman" panose="02020603050405020304" charset="0"/>
            <a:cs typeface="Times New Roman" panose="02020603050405020304" charset="0"/>
          </a:endParaRPr>
        </a:p>
        <a:p>
          <a:endParaRPr lang="ru-RU" sz="800">
            <a:solidFill>
              <a:sysClr val="windowText" lastClr="000000"/>
            </a:solidFill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0.07067</cdr:x>
      <cdr:y>0.13917</cdr:y>
    </cdr:from>
    <cdr:to>
      <cdr:x>0.27427</cdr:x>
      <cdr:y>0.29665</cdr:y>
    </cdr:to>
    <cdr:sp>
      <cdr:nvSpPr>
        <cdr:cNvPr id="2" name="Выноска 3 (с границей и чертой) 1"/>
        <cdr:cNvSpPr/>
      </cdr:nvSpPr>
      <cdr:spPr xmlns:a="http://schemas.openxmlformats.org/drawingml/2006/main">
        <a:xfrm xmlns:a="http://schemas.openxmlformats.org/drawingml/2006/main">
          <a:off x="363612" y="432104"/>
          <a:ext cx="1047564" cy="488954"/>
        </a:xfrm>
        <a:prstGeom xmlns:a="http://schemas.openxmlformats.org/drawingml/2006/main" prst="accentBorderCallout3">
          <a:avLst>
            <a:gd name="adj1" fmla="val 18750"/>
            <a:gd name="adj2" fmla="val -8333"/>
            <a:gd name="adj3" fmla="val 18750"/>
            <a:gd name="adj4" fmla="val -16667"/>
            <a:gd name="adj5" fmla="val 100000"/>
            <a:gd name="adj6" fmla="val -16667"/>
            <a:gd name="adj7" fmla="val 125871"/>
            <a:gd name="adj8" fmla="val 225424"/>
          </a:avLst>
        </a:prstGeom>
        <a:solidFill>
          <a:srgbClr val="FFFF00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 xmlns:a="http://schemas.openxmlformats.org/drawingml/2006/main">
        <a:bodyPr rot="0" vertOverflow="clip" vert="horz" wrap="square" lIns="45720" tIns="45720" rIns="45720" bIns="45720" anchor="t" anchorCtr="0">
          <a:noAutofit/>
        </a:bodyPr>
        <a:lstStyle/>
        <a:p>
          <a:pPr algn="ctr"/>
          <a:r>
            <a:rPr lang="ru-RU" sz="600">
              <a:solidFill>
                <a:schemeClr val="tx1"/>
              </a:solidFill>
              <a:latin typeface="Times New Roman" panose="02020603050405020304" charset="0"/>
              <a:cs typeface="Times New Roman" panose="02020603050405020304" charset="0"/>
            </a:rPr>
            <a:t>с низкой степенью огнестойкости - 2;        25% от</a:t>
          </a:r>
          <a:r>
            <a:rPr lang="ru-RU" sz="600" baseline="0">
              <a:solidFill>
                <a:schemeClr val="tx1"/>
              </a:solidFill>
              <a:latin typeface="Times New Roman" panose="02020603050405020304" charset="0"/>
              <a:cs typeface="Times New Roman" panose="02020603050405020304" charset="0"/>
            </a:rPr>
            <a:t> общего количества пожаров в жилье</a:t>
          </a:r>
          <a:endParaRPr lang="ru-RU" sz="600">
            <a:solidFill>
              <a:schemeClr val="tx1"/>
            </a:solidFill>
            <a:latin typeface="Times New Roman" panose="02020603050405020304" charset="0"/>
            <a:cs typeface="Times New Roman" panose="0202060305040502030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595373-F643-477C-B770-449EA55EF32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14</Pages>
  <Words>2212</Words>
  <Characters>11570</Characters>
  <Lines>96</Lines>
  <Paragraphs>27</Paragraphs>
  <TotalTime>4933</TotalTime>
  <ScaleCrop>false</ScaleCrop>
  <LinksUpToDate>false</LinksUpToDate>
  <CharactersWithSpaces>13755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2018-01-02T04:41:00Z</dcterms:created>
  <dc:creator>Игорь</dc:creator>
  <cp:lastModifiedBy>admslr</cp:lastModifiedBy>
  <cp:lastPrinted>2021-03-13T04:56:00Z</cp:lastPrinted>
  <dcterms:modified xsi:type="dcterms:W3CDTF">2021-04-23T07:43:52Z</dcterms:modified>
  <cp:revision>536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1049-11.2.0.10101</vt:lpwstr>
  </property>
</Properties>
</file>